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 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9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163830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5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Date of Report (Date of earliest event reported): February 12, 2026 (February 12,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164465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2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6"/>
          <w:szCs w:val="36"/>
          <w:b w:val="1"/>
          <w:bCs w:val="1"/>
          <w:color w:val="auto"/>
        </w:rPr>
        <w:t>HOWMET AEROSPACE INC.</w:t>
      </w:r>
    </w:p>
    <w:p>
      <w:pPr>
        <w:spacing w:after="0" w:line="5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63" w:right="339" w:bottom="1440" w:gutter="0" w:footer="0" w:header="0"/>
        </w:sectPr>
      </w:pPr>
    </w:p>
    <w:p>
      <w:pPr>
        <w:spacing w:after="0" w:line="200" w:lineRule="exact"/>
        <w:rPr>
          <w:sz w:val="24"/>
          <w:szCs w:val="24"/>
          <w:color w:val="auto"/>
        </w:rPr>
      </w:pPr>
    </w:p>
    <w:p>
      <w:pPr>
        <w:spacing w:after="0" w:line="231" w:lineRule="exact"/>
        <w:rPr>
          <w:sz w:val="24"/>
          <w:szCs w:val="24"/>
          <w:color w:val="auto"/>
        </w:rPr>
      </w:pPr>
    </w:p>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jc w:val="center"/>
        <w:ind w:right="180"/>
        <w:spacing w:after="0"/>
        <w:rPr>
          <w:sz w:val="20"/>
          <w:szCs w:val="20"/>
          <w:color w:val="auto"/>
        </w:rPr>
      </w:pPr>
      <w:r>
        <w:rPr>
          <w:rFonts w:ascii="Times New Roman" w:cs="Times New Roman" w:eastAsia="Times New Roman" w:hAnsi="Times New Roman"/>
          <w:sz w:val="17"/>
          <w:szCs w:val="17"/>
          <w:color w:val="auto"/>
        </w:rPr>
        <w:t>(State 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11" w:lineRule="exact"/>
        <w:rPr>
          <w:sz w:val="24"/>
          <w:szCs w:val="24"/>
          <w:color w:val="auto"/>
        </w:rPr>
      </w:pPr>
    </w:p>
    <w:p>
      <w:pPr>
        <w:jc w:val="center"/>
        <w:ind w:right="1380"/>
        <w:spacing w:after="0"/>
        <w:rPr>
          <w:sz w:val="20"/>
          <w:szCs w:val="20"/>
          <w:color w:val="auto"/>
        </w:rPr>
      </w:pPr>
      <w:r>
        <w:rPr>
          <w:rFonts w:ascii="Times New Roman" w:cs="Times New Roman" w:eastAsia="Times New Roman" w:hAnsi="Times New Roman"/>
          <w:sz w:val="18"/>
          <w:szCs w:val="18"/>
          <w:b w:val="1"/>
          <w:bCs w:val="1"/>
          <w:color w:val="auto"/>
        </w:rPr>
        <w:t>1-3610</w:t>
      </w:r>
    </w:p>
    <w:p>
      <w:pPr>
        <w:spacing w:after="0" w:line="31" w:lineRule="exact"/>
        <w:rPr>
          <w:sz w:val="24"/>
          <w:szCs w:val="24"/>
          <w:color w:val="auto"/>
        </w:rPr>
      </w:pPr>
    </w:p>
    <w:p>
      <w:pPr>
        <w:jc w:val="center"/>
        <w:ind w:right="1380"/>
        <w:spacing w:after="0"/>
        <w:rPr>
          <w:sz w:val="20"/>
          <w:szCs w:val="20"/>
          <w:color w:val="auto"/>
        </w:rPr>
      </w:pPr>
      <w:r>
        <w:rPr>
          <w:rFonts w:ascii="Times New Roman" w:cs="Times New Roman" w:eastAsia="Times New Roman" w:hAnsi="Times New Roman"/>
          <w:sz w:val="17"/>
          <w:szCs w:val="17"/>
          <w:color w:val="auto"/>
        </w:rPr>
        <w:t>(Commission 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11" w:lineRule="exact"/>
        <w:rPr>
          <w:sz w:val="24"/>
          <w:szCs w:val="24"/>
          <w:color w:val="auto"/>
        </w:rPr>
      </w:pPr>
    </w:p>
    <w:p>
      <w:pPr>
        <w:ind w:left="240"/>
        <w:spacing w:after="0"/>
        <w:rPr>
          <w:sz w:val="20"/>
          <w:szCs w:val="20"/>
          <w:color w:val="auto"/>
        </w:rPr>
      </w:pPr>
      <w:r>
        <w:rPr>
          <w:rFonts w:ascii="Times New Roman" w:cs="Times New Roman" w:eastAsia="Times New Roman" w:hAnsi="Times New Roman"/>
          <w:sz w:val="18"/>
          <w:szCs w:val="18"/>
          <w:b w:val="1"/>
          <w:bCs w:val="1"/>
          <w:color w:val="auto"/>
        </w:rPr>
        <w:t>25-0317820</w:t>
      </w:r>
    </w:p>
    <w:p>
      <w:pPr>
        <w:spacing w:after="0" w:line="31" w:lineRule="exact"/>
        <w:rPr>
          <w:sz w:val="24"/>
          <w:szCs w:val="24"/>
          <w:color w:val="auto"/>
        </w:rPr>
      </w:pPr>
    </w:p>
    <w:p>
      <w:pPr>
        <w:ind w:left="100"/>
        <w:spacing w:after="0"/>
        <w:rPr>
          <w:sz w:val="20"/>
          <w:szCs w:val="20"/>
          <w:color w:val="auto"/>
        </w:rPr>
      </w:pPr>
      <w:r>
        <w:rPr>
          <w:rFonts w:ascii="Times New Roman" w:cs="Times New Roman" w:eastAsia="Times New Roman" w:hAnsi="Times New Roman"/>
          <w:sz w:val="18"/>
          <w:szCs w:val="18"/>
          <w:color w:val="auto"/>
        </w:rPr>
        <w:t>(IRS Employer</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Identification No.)</w:t>
      </w:r>
    </w:p>
    <w:p>
      <w:pPr>
        <w:spacing w:after="0" w:line="200" w:lineRule="exact"/>
        <w:rPr>
          <w:sz w:val="24"/>
          <w:szCs w:val="24"/>
          <w:color w:val="auto"/>
        </w:rPr>
      </w:pPr>
    </w:p>
    <w:p>
      <w:pPr>
        <w:sectPr>
          <w:pgSz w:w="11900" w:h="16838" w:orient="portrait"/>
          <w:cols w:equalWidth="0" w:num="3">
            <w:col w:w="3920" w:space="720"/>
            <w:col w:w="3360" w:space="720"/>
            <w:col w:w="2520"/>
          </w:cols>
          <w:pgMar w:left="320" w:top="763" w:right="339" w:bottom="1440" w:gutter="0" w:footer="0" w:header="0"/>
          <w:type w:val="continuous"/>
        </w:sectPr>
      </w:pPr>
    </w:p>
    <w:p>
      <w:pPr>
        <w:spacing w:after="0" w:line="14" w:lineRule="exact"/>
        <w:rPr>
          <w:sz w:val="24"/>
          <w:szCs w:val="24"/>
          <w:color w:val="auto"/>
        </w:rPr>
      </w:pPr>
    </w:p>
    <w:p>
      <w:pPr>
        <w:jc w:val="center"/>
        <w:ind w:right="1660"/>
        <w:spacing w:after="0"/>
        <w:rPr>
          <w:sz w:val="20"/>
          <w:szCs w:val="20"/>
          <w:color w:val="auto"/>
        </w:rPr>
      </w:pPr>
      <w:r>
        <w:rPr>
          <w:rFonts w:ascii="Times New Roman" w:cs="Times New Roman" w:eastAsia="Times New Roman" w:hAnsi="Times New Roman"/>
          <w:sz w:val="18"/>
          <w:szCs w:val="18"/>
          <w:b w:val="1"/>
          <w:bCs w:val="1"/>
          <w:color w:val="auto"/>
        </w:rPr>
        <w:t>201 Isabella Street, Suite 200</w:t>
      </w:r>
    </w:p>
    <w:p>
      <w:pPr>
        <w:spacing w:after="0" w:line="31" w:lineRule="exact"/>
        <w:rPr>
          <w:sz w:val="24"/>
          <w:szCs w:val="24"/>
          <w:color w:val="auto"/>
        </w:rPr>
      </w:pPr>
    </w:p>
    <w:p>
      <w:pPr>
        <w:jc w:val="center"/>
        <w:ind w:right="1660"/>
        <w:spacing w:after="0"/>
        <w:rPr>
          <w:sz w:val="20"/>
          <w:szCs w:val="20"/>
          <w:color w:val="auto"/>
        </w:rPr>
      </w:pPr>
      <w:r>
        <w:rPr>
          <w:rFonts w:ascii="Times New Roman" w:cs="Times New Roman" w:eastAsia="Times New Roman" w:hAnsi="Times New Roman"/>
          <w:sz w:val="18"/>
          <w:szCs w:val="18"/>
          <w:b w:val="1"/>
          <w:bCs w:val="1"/>
          <w:color w:val="auto"/>
        </w:rPr>
        <w:t>Pittsburgh, Pennsylvania</w:t>
      </w:r>
    </w:p>
    <w:p>
      <w:pPr>
        <w:spacing w:after="0" w:line="9" w:lineRule="exact"/>
        <w:rPr>
          <w:sz w:val="24"/>
          <w:szCs w:val="24"/>
          <w:color w:val="auto"/>
        </w:rPr>
      </w:pPr>
    </w:p>
    <w:p>
      <w:pPr>
        <w:jc w:val="center"/>
        <w:ind w:right="166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1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15212-5872</w:t>
      </w:r>
    </w:p>
    <w:p>
      <w:pPr>
        <w:spacing w:after="0" w:line="43"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8"/>
          <w:szCs w:val="18"/>
          <w:color w:val="auto"/>
        </w:rPr>
        <w:t>(Zip Code)</w:t>
      </w:r>
    </w:p>
    <w:p>
      <w:pPr>
        <w:spacing w:after="0" w:line="200" w:lineRule="exact"/>
        <w:rPr>
          <w:sz w:val="24"/>
          <w:szCs w:val="24"/>
          <w:color w:val="auto"/>
        </w:rPr>
      </w:pPr>
    </w:p>
    <w:p>
      <w:pPr>
        <w:sectPr>
          <w:pgSz w:w="11900" w:h="16838" w:orient="portrait"/>
          <w:cols w:equalWidth="0" w:num="2">
            <w:col w:w="7280" w:space="720"/>
            <w:col w:w="3240"/>
          </w:cols>
          <w:pgMar w:left="320" w:top="763" w:right="339" w:bottom="1440" w:gutter="0" w:footer="0" w:header="0"/>
          <w:type w:val="continuous"/>
        </w:sectPr>
      </w:pP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Office of Investor Relations (412) 553-1950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Office of the Secretary (412) 553-1940</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numbers, including area code)</w:t>
      </w:r>
    </w:p>
    <w:p>
      <w:pPr>
        <w:spacing w:after="0" w:line="2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25"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980" w:firstLine="8"/>
        <w:spacing w:after="0" w:line="511" w:lineRule="auto"/>
        <w:tabs>
          <w:tab w:leader="none" w:pos="207"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tbl>
      <w:tblPr>
        <w:tblLayout w:type="fixed"/>
        <w:tblInd w:w="10" w:type="dxa"/>
        <w:tblCellMar>
          <w:top w:w="0" w:type="dxa"/>
          <w:left w:w="0" w:type="dxa"/>
          <w:bottom w:w="0" w:type="dxa"/>
          <w:right w:w="0" w:type="dxa"/>
        </w:tblCellMar>
      </w:tblPr>
      <w:tr>
        <w:trPr>
          <w:trHeight w:val="192"/>
        </w:trPr>
        <w:tc>
          <w:tcPr>
            <w:tcW w:w="4640" w:type="dxa"/>
            <w:vAlign w:val="bottom"/>
            <w:tcBorders>
              <w:top w:val="single" w:sz="8" w:color="auto"/>
              <w:left w:val="single" w:sz="8" w:color="auto"/>
              <w:right w:val="single" w:sz="8" w:color="auto"/>
            </w:tcBorders>
          </w:tcPr>
          <w:p>
            <w:pPr>
              <w:spacing w:after="0"/>
              <w:rPr>
                <w:sz w:val="16"/>
                <w:szCs w:val="16"/>
                <w:color w:val="auto"/>
              </w:rPr>
            </w:pPr>
          </w:p>
        </w:tc>
        <w:tc>
          <w:tcPr>
            <w:tcW w:w="2120" w:type="dxa"/>
            <w:vAlign w:val="bottom"/>
            <w:tcBorders>
              <w:top w:val="single" w:sz="8" w:color="auto"/>
              <w:right w:val="single" w:sz="8" w:color="auto"/>
            </w:tcBorders>
          </w:tcPr>
          <w:p>
            <w:pPr>
              <w:jc w:val="center"/>
              <w:spacing w:after="0" w:line="192" w:lineRule="exact"/>
              <w:rPr>
                <w:sz w:val="20"/>
                <w:szCs w:val="20"/>
                <w:color w:val="auto"/>
              </w:rPr>
            </w:pPr>
            <w:r>
              <w:rPr>
                <w:rFonts w:ascii="Times New Roman" w:cs="Times New Roman" w:eastAsia="Times New Roman" w:hAnsi="Times New Roman"/>
                <w:sz w:val="18"/>
                <w:szCs w:val="18"/>
                <w:color w:val="auto"/>
                <w:w w:val="98"/>
              </w:rPr>
              <w:t>Trading</w:t>
            </w:r>
          </w:p>
        </w:tc>
        <w:tc>
          <w:tcPr>
            <w:tcW w:w="4480" w:type="dxa"/>
            <w:vAlign w:val="bottom"/>
            <w:tcBorders>
              <w:top w:val="single" w:sz="8" w:color="auto"/>
              <w:right w:val="single" w:sz="8" w:color="auto"/>
            </w:tcBorders>
          </w:tcPr>
          <w:p>
            <w:pPr>
              <w:jc w:val="center"/>
              <w:spacing w:after="0" w:line="192" w:lineRule="exact"/>
              <w:rPr>
                <w:sz w:val="20"/>
                <w:szCs w:val="20"/>
                <w:color w:val="auto"/>
              </w:rPr>
            </w:pPr>
            <w:r>
              <w:rPr>
                <w:rFonts w:ascii="Times New Roman" w:cs="Times New Roman" w:eastAsia="Times New Roman" w:hAnsi="Times New Roman"/>
                <w:sz w:val="18"/>
                <w:szCs w:val="18"/>
                <w:color w:val="auto"/>
                <w:w w:val="99"/>
              </w:rPr>
              <w:t>Name of each exchange on which</w:t>
            </w:r>
          </w:p>
        </w:tc>
      </w:tr>
      <w:tr>
        <w:trPr>
          <w:trHeight w:val="234"/>
        </w:trPr>
        <w:tc>
          <w:tcPr>
            <w:tcW w:w="46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1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Symbol(s)</w:t>
            </w:r>
          </w:p>
        </w:tc>
        <w:tc>
          <w:tcPr>
            <w:tcW w:w="44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registered</w:t>
            </w:r>
          </w:p>
        </w:tc>
      </w:tr>
      <w:tr>
        <w:trPr>
          <w:trHeight w:val="209"/>
        </w:trPr>
        <w:tc>
          <w:tcPr>
            <w:tcW w:w="46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Common Stock, par value $1.00 per share</w:t>
            </w:r>
          </w:p>
        </w:tc>
        <w:tc>
          <w:tcPr>
            <w:tcW w:w="21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HWM</w:t>
            </w:r>
          </w:p>
        </w:tc>
        <w:tc>
          <w:tcPr>
            <w:tcW w:w="44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New York Stock Exchange</w:t>
            </w:r>
          </w:p>
        </w:tc>
      </w:tr>
    </w:tbl>
    <w:p>
      <w:pPr>
        <w:spacing w:after="0" w:line="198" w:lineRule="exact"/>
        <w:rPr>
          <w:sz w:val="24"/>
          <w:szCs w:val="24"/>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600075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63"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229" w:lineRule="exact"/>
        <w:rPr>
          <w:sz w:val="20"/>
          <w:szCs w:val="20"/>
          <w:color w:val="auto"/>
        </w:rPr>
      </w:pPr>
    </w:p>
    <w:p>
      <w:pPr>
        <w:ind w:right="140" w:firstLine="648"/>
        <w:spacing w:after="0" w:line="282" w:lineRule="auto"/>
        <w:rPr>
          <w:sz w:val="20"/>
          <w:szCs w:val="20"/>
          <w:color w:val="auto"/>
        </w:rPr>
      </w:pPr>
      <w:r>
        <w:rPr>
          <w:rFonts w:ascii="Times New Roman" w:cs="Times New Roman" w:eastAsia="Times New Roman" w:hAnsi="Times New Roman"/>
          <w:sz w:val="18"/>
          <w:szCs w:val="18"/>
          <w:color w:val="auto"/>
        </w:rPr>
        <w:t>On February 12, 2026, Howmet Aerospace Inc. issued a press release announcing its financial results for the fourth quarter of 2025 and full year 2025. A copy of the press release is attached hereto as Exhibit 99.1 and is incorporated herein by reference.</w:t>
      </w:r>
    </w:p>
    <w:p>
      <w:pPr>
        <w:spacing w:after="0" w:line="162"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In accordance with General Instruction B.2 of Form 8-K, the information in Item 2.02 of this Current Report on Form 8-K, including Exhibit 99.1, shall not be deemed to be “filed” for purposes of Section 18 of the Securities Exchange Act of 1934, as amended (the “Exchange Act”), or otherwise subject to the liability of that section, and shall not be incorporated by reference into any registration statement or other document filed under the Securities Act of 1933, as amended, or the Exchange Act, except as shall be expressly set forth by specific reference in such filing.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 Exhibits</w:t>
      </w:r>
    </w:p>
    <w:p>
      <w:pPr>
        <w:spacing w:after="0" w:line="227"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u w:val="single" w:color="auto"/>
          <w:color w:val="0000EE"/>
        </w:rPr>
        <w:t>99.1</w:t>
      </w:r>
      <w:r>
        <w:rPr>
          <w:sz w:val="20"/>
          <w:szCs w:val="20"/>
          <w:color w:val="auto"/>
        </w:rPr>
        <w:tab/>
      </w:r>
      <w:r>
        <w:rPr>
          <w:rFonts w:ascii="Times New Roman" w:cs="Times New Roman" w:eastAsia="Times New Roman" w:hAnsi="Times New Roman"/>
          <w:sz w:val="17"/>
          <w:szCs w:val="17"/>
          <w:u w:val="single" w:color="auto"/>
          <w:color w:val="0000EE"/>
        </w:rPr>
        <w:t>Howmet Aerospace Inc. press release dated February 12, 2026.</w:t>
      </w:r>
    </w:p>
    <w:p>
      <w:pPr>
        <w:spacing w:after="0" w:line="2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The cover page of this Current Report on Form 8-K, formatted in Inline XBRL.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900" w:right="37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right="460" w:firstLine="495"/>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40" w:type="dxa"/>
            <w:vAlign w:val="bottom"/>
          </w:tcPr>
          <w:p>
            <w:pPr>
              <w:spacing w:after="0"/>
              <w:rPr>
                <w:sz w:val="20"/>
                <w:szCs w:val="20"/>
                <w:color w:val="auto"/>
              </w:rPr>
            </w:pPr>
          </w:p>
        </w:tc>
        <w:tc>
          <w:tcPr>
            <w:tcW w:w="7500" w:type="dxa"/>
            <w:vAlign w:val="bottom"/>
            <w:gridSpan w:val="2"/>
          </w:tcPr>
          <w:p>
            <w:pPr>
              <w:ind w:left="1900"/>
              <w:spacing w:after="0"/>
              <w:rPr>
                <w:sz w:val="20"/>
                <w:szCs w:val="20"/>
                <w:color w:val="auto"/>
              </w:rPr>
            </w:pPr>
            <w:r>
              <w:rPr>
                <w:rFonts w:ascii="Times New Roman" w:cs="Times New Roman" w:eastAsia="Times New Roman" w:hAnsi="Times New Roman"/>
                <w:sz w:val="18"/>
                <w:szCs w:val="18"/>
                <w:color w:val="auto"/>
              </w:rPr>
              <w:t>HOWMET AEROSPACE INC.</w:t>
            </w:r>
          </w:p>
        </w:tc>
      </w:tr>
      <w:tr>
        <w:trPr>
          <w:trHeight w:val="432"/>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Dated: February 12, 2026</w:t>
            </w:r>
          </w:p>
        </w:tc>
        <w:tc>
          <w:tcPr>
            <w:tcW w:w="2460" w:type="dxa"/>
            <w:vAlign w:val="bottom"/>
          </w:tcPr>
          <w:p>
            <w:pPr>
              <w:ind w:left="190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Neil E. Marchuk</w:t>
            </w:r>
          </w:p>
        </w:tc>
      </w:tr>
      <w:tr>
        <w:trPr>
          <w:trHeight w:val="191"/>
        </w:trPr>
        <w:tc>
          <w:tcPr>
            <w:tcW w:w="3740" w:type="dxa"/>
            <w:vAlign w:val="bottom"/>
          </w:tcPr>
          <w:p>
            <w:pPr>
              <w:spacing w:after="0"/>
              <w:rPr>
                <w:sz w:val="16"/>
                <w:szCs w:val="16"/>
                <w:color w:val="auto"/>
              </w:rPr>
            </w:pPr>
          </w:p>
        </w:tc>
        <w:tc>
          <w:tcPr>
            <w:tcW w:w="2460" w:type="dxa"/>
            <w:vAlign w:val="bottom"/>
          </w:tcPr>
          <w:p>
            <w:pPr>
              <w:ind w:left="190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Neil E. Marchuk</w:t>
            </w:r>
          </w:p>
        </w:tc>
      </w:tr>
      <w:tr>
        <w:trPr>
          <w:trHeight w:val="234"/>
        </w:trPr>
        <w:tc>
          <w:tcPr>
            <w:tcW w:w="3740" w:type="dxa"/>
            <w:vAlign w:val="bottom"/>
          </w:tcPr>
          <w:p>
            <w:pPr>
              <w:spacing w:after="0"/>
              <w:rPr>
                <w:sz w:val="20"/>
                <w:szCs w:val="20"/>
                <w:color w:val="auto"/>
              </w:rPr>
            </w:pPr>
          </w:p>
        </w:tc>
        <w:tc>
          <w:tcPr>
            <w:tcW w:w="2460" w:type="dxa"/>
            <w:vAlign w:val="bottom"/>
          </w:tcPr>
          <w:p>
            <w:pPr>
              <w:ind w:left="1900"/>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Executive Vice President and Chief Administrative Officer</w:t>
            </w:r>
          </w:p>
        </w:tc>
      </w:tr>
      <w:tr>
        <w:trPr>
          <w:trHeight w:val="675"/>
        </w:trPr>
        <w:tc>
          <w:tcPr>
            <w:tcW w:w="374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168275</wp:posOffset>
            </wp:positionV>
            <wp:extent cx="2237105" cy="6172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237105" cy="6172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180" w:type="dxa"/>
            <w:vAlign w:val="bottom"/>
          </w:tcPr>
          <w:p>
            <w:pPr>
              <w:spacing w:after="0"/>
              <w:rPr>
                <w:sz w:val="20"/>
                <w:szCs w:val="20"/>
                <w:color w:val="auto"/>
              </w:rPr>
            </w:pPr>
          </w:p>
        </w:tc>
        <w:tc>
          <w:tcPr>
            <w:tcW w:w="8060" w:type="dxa"/>
            <w:vAlign w:val="bottom"/>
          </w:tcPr>
          <w:p>
            <w:pPr>
              <w:jc w:val="right"/>
              <w:ind w:right="4330"/>
              <w:spacing w:after="0"/>
              <w:rPr>
                <w:sz w:val="20"/>
                <w:szCs w:val="20"/>
                <w:color w:val="auto"/>
              </w:rPr>
            </w:pPr>
            <w:r>
              <w:rPr>
                <w:rFonts w:ascii="Times New Roman" w:cs="Times New Roman" w:eastAsia="Times New Roman" w:hAnsi="Times New Roman"/>
                <w:sz w:val="18"/>
                <w:szCs w:val="18"/>
                <w:b w:val="1"/>
                <w:bCs w:val="1"/>
                <w:color w:val="auto"/>
              </w:rPr>
              <w:t>FOR IMMEDIATE RELEASE</w:t>
            </w:r>
          </w:p>
        </w:tc>
      </w:tr>
      <w:tr>
        <w:trPr>
          <w:trHeight w:val="414"/>
        </w:trPr>
        <w:tc>
          <w:tcPr>
            <w:tcW w:w="3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Investor Contact</w:t>
            </w:r>
          </w:p>
        </w:tc>
        <w:tc>
          <w:tcPr>
            <w:tcW w:w="8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Media Contact</w:t>
            </w:r>
          </w:p>
        </w:tc>
      </w:tr>
      <w:tr>
        <w:trPr>
          <w:trHeight w:val="216"/>
        </w:trPr>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Paul T. Luther</w:t>
            </w:r>
          </w:p>
        </w:tc>
        <w:tc>
          <w:tcPr>
            <w:tcW w:w="8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Rob Morrison</w:t>
            </w:r>
          </w:p>
        </w:tc>
      </w:tr>
      <w:tr>
        <w:trPr>
          <w:trHeight w:val="216"/>
        </w:trPr>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(412) 553-1950</w:t>
            </w:r>
          </w:p>
        </w:tc>
        <w:tc>
          <w:tcPr>
            <w:tcW w:w="8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 553-2666</w:t>
            </w:r>
          </w:p>
        </w:tc>
      </w:tr>
      <w:tr>
        <w:trPr>
          <w:trHeight w:val="234"/>
        </w:trPr>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Paul.Luther@howmet.com</w:t>
            </w:r>
          </w:p>
        </w:tc>
        <w:tc>
          <w:tcPr>
            <w:tcW w:w="8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Rob.Morrison@howmet.com</w:t>
            </w:r>
          </w:p>
        </w:tc>
      </w:tr>
    </w:tbl>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Howmet Aerospace Reports Fourth Quarter and Full Year 2025 Results</w:t>
      </w:r>
    </w:p>
    <w:p>
      <w:pPr>
        <w:spacing w:after="0" w:line="40"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i w:val="1"/>
          <w:iCs w:val="1"/>
          <w:color w:val="auto"/>
        </w:rPr>
        <w:t>FY 2025: Record Revenue, Up 11% Year Over Year; Record Profit and Cash from Operations</w:t>
      </w:r>
    </w:p>
    <w:p>
      <w:pPr>
        <w:ind w:left="2500"/>
        <w:spacing w:after="0" w:line="191" w:lineRule="auto"/>
        <w:rPr>
          <w:sz w:val="20"/>
          <w:szCs w:val="20"/>
          <w:color w:val="auto"/>
        </w:rPr>
      </w:pPr>
      <w:r>
        <w:rPr>
          <w:rFonts w:ascii="Times New Roman" w:cs="Times New Roman" w:eastAsia="Times New Roman" w:hAnsi="Times New Roman"/>
          <w:sz w:val="18"/>
          <w:szCs w:val="18"/>
          <w:i w:val="1"/>
          <w:iCs w:val="1"/>
          <w:color w:val="auto"/>
        </w:rPr>
        <w:t>FY 2025: GAAP EPS Up 32% Year Over Year; Adjusted EPS</w:t>
      </w:r>
      <w:r>
        <w:rPr>
          <w:rFonts w:ascii="Times New Roman" w:cs="Times New Roman" w:eastAsia="Times New Roman" w:hAnsi="Times New Roman"/>
          <w:sz w:val="29"/>
          <w:szCs w:val="29"/>
          <w:i w:val="1"/>
          <w:iCs w:val="1"/>
          <w:color w:val="auto"/>
          <w:vertAlign w:val="superscript"/>
        </w:rPr>
        <w:t>*</w:t>
      </w:r>
      <w:r>
        <w:rPr>
          <w:rFonts w:ascii="Times New Roman" w:cs="Times New Roman" w:eastAsia="Times New Roman" w:hAnsi="Times New Roman"/>
          <w:sz w:val="18"/>
          <w:szCs w:val="18"/>
          <w:i w:val="1"/>
          <w:iCs w:val="1"/>
          <w:color w:val="auto"/>
        </w:rPr>
        <w:t xml:space="preserve"> Up 40% Year Over Year</w:t>
      </w:r>
    </w:p>
    <w:p>
      <w:pPr>
        <w:jc w:val="center"/>
        <w:spacing w:after="0"/>
        <w:rPr>
          <w:sz w:val="20"/>
          <w:szCs w:val="20"/>
          <w:color w:val="auto"/>
        </w:rPr>
      </w:pPr>
      <w:r>
        <w:rPr>
          <w:rFonts w:ascii="Times New Roman" w:cs="Times New Roman" w:eastAsia="Times New Roman" w:hAnsi="Times New Roman"/>
          <w:sz w:val="18"/>
          <w:szCs w:val="18"/>
          <w:i w:val="1"/>
          <w:iCs w:val="1"/>
          <w:color w:val="auto"/>
        </w:rPr>
        <w:t>FY 2025: $700 Million Deployed for Common Stock Repurchases; $265 Million Debt Reduction</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FY 2026: Revenue Growth Guidance at Approximately 10%, Expect Improved Profit and Cash Generation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Fourth Quarter 2025 GAAP Financial Results</w:t>
      </w:r>
    </w:p>
    <w:p>
      <w:pPr>
        <w:spacing w:after="0" w:line="229" w:lineRule="exact"/>
        <w:rPr>
          <w:sz w:val="20"/>
          <w:szCs w:val="20"/>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of $2.2 billion, up 15% year over year (YoY), driven by Commercial Aerospace, up 13%</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Income Margin of 22.6%, down 90 basis points YoY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Income of $372 million versus $314 million in the fourth quarter 2024; Earnings per Share (EPS) of $0.92, up 19% YoY</w:t>
      </w:r>
    </w:p>
    <w:p>
      <w:pPr>
        <w:spacing w:after="0" w:line="9" w:lineRule="exact"/>
        <w:rPr>
          <w:rFonts w:ascii="Times New Roman" w:cs="Times New Roman" w:eastAsia="Times New Roman" w:hAnsi="Times New Roman"/>
          <w:sz w:val="18"/>
          <w:szCs w:val="18"/>
          <w:color w:val="auto"/>
        </w:rPr>
      </w:pPr>
    </w:p>
    <w:p>
      <w:pPr>
        <w:ind w:left="660" w:right="20" w:hanging="328"/>
        <w:spacing w:after="0" w:line="250"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Generated $654 million of Cash from Operations; $449 million of Cash used for Financing Activities; and $122 million of Cash used for Investing Activities</w:t>
      </w: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 repurchases of $200 million; paid $0.12 per share common stock dividend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Fourth Quarter 2025 Adjusted Financial Results</w:t>
      </w:r>
    </w:p>
    <w:p>
      <w:pPr>
        <w:spacing w:after="0" w:line="229" w:lineRule="exact"/>
        <w:rPr>
          <w:sz w:val="20"/>
          <w:szCs w:val="20"/>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excluding special items of $653 million, up 29% YoY</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margin excluding special items of 30.1%, up 330 basis points YoY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Operating Income Margin excluding special items of 26.8%, up 380 basis points YoY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EPS excluding special items of $1.05, up 42% YoY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Generated $530 million of Free Cash Flow</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Full Year 2025 GAAP Financial Results</w:t>
      </w:r>
    </w:p>
    <w:p>
      <w:pPr>
        <w:spacing w:after="0" w:line="229" w:lineRule="exact"/>
        <w:rPr>
          <w:sz w:val="20"/>
          <w:szCs w:val="20"/>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of $8.3 billion, up 11% YoY, driven by Commercial Aerospace, up 12%</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Income Margin of 24.8%, up 280 basis points YoY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Income of $1.5 billion versus $1.2 billion in 2024; EPS of $3.71 versus $2.81 in 2024</w:t>
      </w:r>
    </w:p>
    <w:p>
      <w:pPr>
        <w:spacing w:after="0" w:line="9" w:lineRule="exact"/>
        <w:rPr>
          <w:rFonts w:ascii="Times New Roman" w:cs="Times New Roman" w:eastAsia="Times New Roman" w:hAnsi="Times New Roman"/>
          <w:sz w:val="18"/>
          <w:szCs w:val="18"/>
          <w:color w:val="auto"/>
        </w:rPr>
      </w:pPr>
    </w:p>
    <w:p>
      <w:pPr>
        <w:ind w:left="660" w:right="300" w:hanging="328"/>
        <w:spacing w:after="0" w:line="250"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Generated $1.9 billion of Cash from Operations; $1.3 billion of Cash used for Financing Activities; and $0.4 billion of Cash used for Investing Activities</w:t>
      </w: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 repurchases of $700 million; paid $0.44 per share common stock dividend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Full Year 2025 Adjusted Financial Results</w:t>
      </w:r>
    </w:p>
    <w:p>
      <w:pPr>
        <w:spacing w:after="0" w:line="229" w:lineRule="exact"/>
        <w:rPr>
          <w:sz w:val="20"/>
          <w:szCs w:val="20"/>
          <w:color w:val="auto"/>
        </w:rPr>
      </w:pPr>
    </w:p>
    <w:p>
      <w:pPr>
        <w:ind w:left="660" w:hanging="328"/>
        <w:spacing w:after="0"/>
        <w:tabs>
          <w:tab w:leader="none" w:pos="66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excluding special items of $2.4 billion, up 26% YoY</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margin excluding special items of 29.3%, up 350 basis points YoY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Operating Income Margin excluding special items of 25.8%, up 380 basis points YoY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EPS excluding special items of $3.77, up 40% YoY</w:t>
      </w:r>
    </w:p>
    <w:p>
      <w:pPr>
        <w:spacing w:after="0" w:line="9" w:lineRule="exact"/>
        <w:rPr>
          <w:rFonts w:ascii="Times New Roman" w:cs="Times New Roman" w:eastAsia="Times New Roman" w:hAnsi="Times New Roman"/>
          <w:sz w:val="18"/>
          <w:szCs w:val="18"/>
          <w:color w:val="auto"/>
        </w:rPr>
      </w:pPr>
    </w:p>
    <w:p>
      <w:pPr>
        <w:ind w:right="7600" w:firstLine="332"/>
        <w:spacing w:after="0" w:line="667" w:lineRule="auto"/>
        <w:tabs>
          <w:tab w:leader="none" w:pos="648"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Generated $1.4 billion of Free Cash Flow * Excluding special items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-421005</wp:posOffset>
            </wp:positionV>
            <wp:extent cx="178308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2026 Guidance</w:t>
      </w:r>
    </w:p>
    <w:p>
      <w:pPr>
        <w:spacing w:after="0" w:line="227" w:lineRule="exact"/>
        <w:rPr>
          <w:sz w:val="20"/>
          <w:szCs w:val="20"/>
          <w:color w:val="auto"/>
        </w:rPr>
      </w:pPr>
    </w:p>
    <w:tbl>
      <w:tblPr>
        <w:tblLayout w:type="fixed"/>
        <w:tblInd w:w="10" w:type="dxa"/>
        <w:tblCellMar>
          <w:top w:w="0" w:type="dxa"/>
          <w:left w:w="0" w:type="dxa"/>
          <w:bottom w:w="0" w:type="dxa"/>
          <w:right w:w="0" w:type="dxa"/>
        </w:tblCellMar>
      </w:tblPr>
      <w:tr>
        <w:trPr>
          <w:trHeight w:val="229"/>
        </w:trPr>
        <w:tc>
          <w:tcPr>
            <w:tcW w:w="4260" w:type="dxa"/>
            <w:vAlign w:val="bottom"/>
            <w:tcBorders>
              <w:top w:val="single" w:sz="8" w:color="auto"/>
              <w:left w:val="single" w:sz="8" w:color="auto"/>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520" w:type="dxa"/>
            <w:vAlign w:val="bottom"/>
            <w:tcBorders>
              <w:top w:val="single" w:sz="8" w:color="auto"/>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Q1 2026 Guidance</w:t>
            </w:r>
          </w:p>
        </w:tc>
        <w:tc>
          <w:tcPr>
            <w:tcW w:w="180" w:type="dxa"/>
            <w:vAlign w:val="bottom"/>
            <w:tcBorders>
              <w:top w:val="single" w:sz="8" w:color="auto"/>
              <w:bottom w:val="single" w:sz="8" w:color="auto"/>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520" w:type="dxa"/>
            <w:vAlign w:val="bottom"/>
            <w:tcBorders>
              <w:top w:val="single" w:sz="8" w:color="auto"/>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FY 2026 Guidance</w:t>
            </w:r>
          </w:p>
        </w:tc>
        <w:tc>
          <w:tcPr>
            <w:tcW w:w="180" w:type="dxa"/>
            <w:vAlign w:val="bottom"/>
            <w:tcBorders>
              <w:top w:val="single" w:sz="8" w:color="auto"/>
              <w:bottom w:val="single" w:sz="8" w:color="auto"/>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380" w:type="dxa"/>
            <w:vAlign w:val="bottom"/>
            <w:tcBorders>
              <w:top w:val="single" w:sz="8" w:color="auto"/>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4260" w:type="dxa"/>
            <w:vAlign w:val="bottom"/>
            <w:tcBorders>
              <w:left w:val="single" w:sz="8" w:color="auto"/>
            </w:tcBorders>
            <w:vMerge w:val="restart"/>
          </w:tcPr>
          <w:p>
            <w:pPr>
              <w:ind w:left="1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400" w:type="dxa"/>
            <w:vAlign w:val="bottom"/>
          </w:tcPr>
          <w:p>
            <w:pPr>
              <w:spacing w:after="0"/>
              <w:rPr>
                <w:sz w:val="14"/>
                <w:szCs w:val="14"/>
                <w:color w:val="auto"/>
              </w:rPr>
            </w:pPr>
          </w:p>
        </w:tc>
        <w:tc>
          <w:tcPr>
            <w:tcW w:w="340" w:type="dxa"/>
            <w:vAlign w:val="bottom"/>
          </w:tcPr>
          <w:p>
            <w:pPr>
              <w:spacing w:after="0" w:line="169" w:lineRule="exact"/>
              <w:rPr>
                <w:sz w:val="20"/>
                <w:szCs w:val="20"/>
                <w:color w:val="auto"/>
              </w:rPr>
            </w:pPr>
            <w:r>
              <w:rPr>
                <w:rFonts w:ascii="Times New Roman" w:cs="Times New Roman" w:eastAsia="Times New Roman" w:hAnsi="Times New Roman"/>
                <w:sz w:val="18"/>
                <w:szCs w:val="18"/>
                <w:b w:val="1"/>
                <w:bCs w:val="1"/>
                <w:color w:val="auto"/>
                <w:w w:val="93"/>
              </w:rPr>
              <w:t>Low</w:t>
            </w:r>
          </w:p>
        </w:tc>
        <w:tc>
          <w:tcPr>
            <w:tcW w:w="1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80" w:type="dxa"/>
            <w:vAlign w:val="bottom"/>
            <w:gridSpan w:val="2"/>
          </w:tcPr>
          <w:p>
            <w:pPr>
              <w:jc w:val="center"/>
              <w:ind w:right="440"/>
              <w:spacing w:after="0" w:line="169" w:lineRule="exact"/>
              <w:rPr>
                <w:sz w:val="20"/>
                <w:szCs w:val="20"/>
                <w:color w:val="auto"/>
              </w:rPr>
            </w:pPr>
            <w:r>
              <w:rPr>
                <w:rFonts w:ascii="Times New Roman" w:cs="Times New Roman" w:eastAsia="Times New Roman" w:hAnsi="Times New Roman"/>
                <w:sz w:val="18"/>
                <w:szCs w:val="18"/>
                <w:b w:val="1"/>
                <w:bCs w:val="1"/>
                <w:color w:val="auto"/>
                <w:w w:val="99"/>
              </w:rPr>
              <w:t>Baseline</w:t>
            </w:r>
          </w:p>
        </w:tc>
        <w:tc>
          <w:tcPr>
            <w:tcW w:w="920" w:type="dxa"/>
            <w:vAlign w:val="bottom"/>
            <w:gridSpan w:val="3"/>
          </w:tcPr>
          <w:p>
            <w:pPr>
              <w:ind w:left="180"/>
              <w:spacing w:after="0" w:line="169" w:lineRule="exact"/>
              <w:rPr>
                <w:sz w:val="20"/>
                <w:szCs w:val="20"/>
                <w:color w:val="auto"/>
              </w:rPr>
            </w:pPr>
            <w:r>
              <w:rPr>
                <w:rFonts w:ascii="Times New Roman" w:cs="Times New Roman" w:eastAsia="Times New Roman" w:hAnsi="Times New Roman"/>
                <w:sz w:val="18"/>
                <w:szCs w:val="18"/>
                <w:b w:val="1"/>
                <w:bCs w:val="1"/>
                <w:color w:val="auto"/>
              </w:rPr>
              <w:t>High</w:t>
            </w:r>
          </w:p>
        </w:tc>
        <w:tc>
          <w:tcPr>
            <w:tcW w:w="240" w:type="dxa"/>
            <w:vAlign w:val="bottom"/>
          </w:tcPr>
          <w:p>
            <w:pPr>
              <w:spacing w:after="0"/>
              <w:rPr>
                <w:sz w:val="14"/>
                <w:szCs w:val="14"/>
                <w:color w:val="auto"/>
              </w:rPr>
            </w:pPr>
          </w:p>
        </w:tc>
        <w:tc>
          <w:tcPr>
            <w:tcW w:w="920" w:type="dxa"/>
            <w:vAlign w:val="bottom"/>
            <w:gridSpan w:val="3"/>
          </w:tcPr>
          <w:p>
            <w:pPr>
              <w:ind w:left="400"/>
              <w:spacing w:after="0" w:line="169" w:lineRule="exact"/>
              <w:rPr>
                <w:sz w:val="20"/>
                <w:szCs w:val="20"/>
                <w:color w:val="auto"/>
              </w:rPr>
            </w:pPr>
            <w:r>
              <w:rPr>
                <w:rFonts w:ascii="Times New Roman" w:cs="Times New Roman" w:eastAsia="Times New Roman" w:hAnsi="Times New Roman"/>
                <w:sz w:val="18"/>
                <w:szCs w:val="18"/>
                <w:b w:val="1"/>
                <w:bCs w:val="1"/>
                <w:color w:val="auto"/>
              </w:rPr>
              <w:t>Low</w:t>
            </w:r>
          </w:p>
        </w:tc>
        <w:tc>
          <w:tcPr>
            <w:tcW w:w="440" w:type="dxa"/>
            <w:vAlign w:val="bottom"/>
          </w:tcPr>
          <w:p>
            <w:pPr>
              <w:spacing w:after="0"/>
              <w:rPr>
                <w:sz w:val="14"/>
                <w:szCs w:val="14"/>
                <w:color w:val="auto"/>
              </w:rPr>
            </w:pPr>
          </w:p>
        </w:tc>
        <w:tc>
          <w:tcPr>
            <w:tcW w:w="1080" w:type="dxa"/>
            <w:vAlign w:val="bottom"/>
            <w:gridSpan w:val="2"/>
          </w:tcPr>
          <w:p>
            <w:pPr>
              <w:jc w:val="center"/>
              <w:ind w:right="440"/>
              <w:spacing w:after="0" w:line="169" w:lineRule="exact"/>
              <w:rPr>
                <w:sz w:val="20"/>
                <w:szCs w:val="20"/>
                <w:color w:val="auto"/>
              </w:rPr>
            </w:pPr>
            <w:r>
              <w:rPr>
                <w:rFonts w:ascii="Times New Roman" w:cs="Times New Roman" w:eastAsia="Times New Roman" w:hAnsi="Times New Roman"/>
                <w:sz w:val="18"/>
                <w:szCs w:val="18"/>
                <w:b w:val="1"/>
                <w:bCs w:val="1"/>
                <w:color w:val="auto"/>
                <w:w w:val="99"/>
              </w:rPr>
              <w:t>Baseline</w:t>
            </w:r>
          </w:p>
        </w:tc>
        <w:tc>
          <w:tcPr>
            <w:tcW w:w="180" w:type="dxa"/>
            <w:vAlign w:val="bottom"/>
          </w:tcPr>
          <w:p>
            <w:pPr>
              <w:spacing w:after="0"/>
              <w:rPr>
                <w:sz w:val="14"/>
                <w:szCs w:val="14"/>
                <w:color w:val="auto"/>
              </w:rPr>
            </w:pPr>
          </w:p>
        </w:tc>
        <w:tc>
          <w:tcPr>
            <w:tcW w:w="760" w:type="dxa"/>
            <w:vAlign w:val="bottom"/>
            <w:tcBorders>
              <w:right w:val="single" w:sz="8" w:color="auto"/>
            </w:tcBorders>
            <w:gridSpan w:val="2"/>
          </w:tcPr>
          <w:p>
            <w:pPr>
              <w:spacing w:after="0" w:line="169" w:lineRule="exact"/>
              <w:rPr>
                <w:sz w:val="20"/>
                <w:szCs w:val="20"/>
                <w:color w:val="auto"/>
              </w:rPr>
            </w:pPr>
            <w:r>
              <w:rPr>
                <w:rFonts w:ascii="Times New Roman" w:cs="Times New Roman" w:eastAsia="Times New Roman" w:hAnsi="Times New Roman"/>
                <w:sz w:val="18"/>
                <w:szCs w:val="18"/>
                <w:b w:val="1"/>
                <w:bCs w:val="1"/>
                <w:color w:val="auto"/>
              </w:rPr>
              <w:t>High</w:t>
            </w:r>
          </w:p>
        </w:tc>
        <w:tc>
          <w:tcPr>
            <w:tcW w:w="0" w:type="dxa"/>
            <w:vAlign w:val="bottom"/>
          </w:tcPr>
          <w:p>
            <w:pPr>
              <w:spacing w:after="0"/>
              <w:rPr>
                <w:sz w:val="1"/>
                <w:szCs w:val="1"/>
                <w:color w:val="auto"/>
              </w:rPr>
            </w:pPr>
          </w:p>
        </w:tc>
      </w:tr>
      <w:tr>
        <w:trPr>
          <w:trHeight w:val="20"/>
        </w:trPr>
        <w:tc>
          <w:tcPr>
            <w:tcW w:w="4260" w:type="dxa"/>
            <w:vAlign w:val="bottom"/>
            <w:tcBorders>
              <w:left w:val="single" w:sz="8" w:color="auto"/>
            </w:tcBorders>
            <w:vMerge w:val="continu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8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4260" w:type="dxa"/>
            <w:vAlign w:val="bottom"/>
            <w:tcBorders>
              <w:left w:val="single" w:sz="8" w:color="auto"/>
            </w:tcBorders>
            <w:vMerge w:val="continue"/>
          </w:tcPr>
          <w:p>
            <w:pPr>
              <w:spacing w:after="0"/>
              <w:rPr>
                <w:sz w:val="18"/>
                <w:szCs w:val="18"/>
                <w:color w:val="auto"/>
              </w:rPr>
            </w:pPr>
          </w:p>
        </w:tc>
        <w:tc>
          <w:tcPr>
            <w:tcW w:w="920" w:type="dxa"/>
            <w:vAlign w:val="bottom"/>
            <w:gridSpan w:val="3"/>
          </w:tcPr>
          <w:p>
            <w:pPr>
              <w:jc w:val="center"/>
              <w:ind w:left="110"/>
              <w:spacing w:after="0"/>
              <w:rPr>
                <w:sz w:val="20"/>
                <w:szCs w:val="20"/>
                <w:color w:val="auto"/>
              </w:rPr>
            </w:pPr>
            <w:r>
              <w:rPr>
                <w:rFonts w:ascii="Times New Roman" w:cs="Times New Roman" w:eastAsia="Times New Roman" w:hAnsi="Times New Roman"/>
                <w:sz w:val="18"/>
                <w:szCs w:val="18"/>
                <w:color w:val="auto"/>
                <w:w w:val="97"/>
              </w:rPr>
              <w:t>$2.225B</w:t>
            </w:r>
          </w:p>
        </w:tc>
        <w:tc>
          <w:tcPr>
            <w:tcW w:w="440" w:type="dxa"/>
            <w:vAlign w:val="bottom"/>
          </w:tcPr>
          <w:p>
            <w:pPr>
              <w:spacing w:after="0"/>
              <w:rPr>
                <w:sz w:val="18"/>
                <w:szCs w:val="18"/>
                <w:color w:val="auto"/>
              </w:rPr>
            </w:pPr>
          </w:p>
        </w:tc>
        <w:tc>
          <w:tcPr>
            <w:tcW w:w="108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color w:val="auto"/>
                <w:w w:val="97"/>
              </w:rPr>
              <w:t>$2.235B</w:t>
            </w:r>
          </w:p>
        </w:tc>
        <w:tc>
          <w:tcPr>
            <w:tcW w:w="1160" w:type="dxa"/>
            <w:vAlign w:val="bottom"/>
            <w:gridSpan w:val="4"/>
          </w:tcPr>
          <w:p>
            <w:pPr>
              <w:jc w:val="center"/>
              <w:ind w:right="440"/>
              <w:spacing w:after="0"/>
              <w:rPr>
                <w:sz w:val="20"/>
                <w:szCs w:val="20"/>
                <w:color w:val="auto"/>
              </w:rPr>
            </w:pPr>
            <w:r>
              <w:rPr>
                <w:rFonts w:ascii="Times New Roman" w:cs="Times New Roman" w:eastAsia="Times New Roman" w:hAnsi="Times New Roman"/>
                <w:sz w:val="18"/>
                <w:szCs w:val="18"/>
                <w:color w:val="auto"/>
                <w:w w:val="97"/>
              </w:rPr>
              <w:t>$2.245B</w:t>
            </w:r>
          </w:p>
        </w:tc>
        <w:tc>
          <w:tcPr>
            <w:tcW w:w="920" w:type="dxa"/>
            <w:vAlign w:val="bottom"/>
            <w:gridSpan w:val="3"/>
          </w:tcPr>
          <w:p>
            <w:pPr>
              <w:jc w:val="center"/>
              <w:ind w:left="130"/>
              <w:spacing w:after="0"/>
              <w:rPr>
                <w:sz w:val="20"/>
                <w:szCs w:val="20"/>
                <w:color w:val="auto"/>
              </w:rPr>
            </w:pPr>
            <w:r>
              <w:rPr>
                <w:rFonts w:ascii="Times New Roman" w:cs="Times New Roman" w:eastAsia="Times New Roman" w:hAnsi="Times New Roman"/>
                <w:sz w:val="18"/>
                <w:szCs w:val="18"/>
                <w:color w:val="auto"/>
              </w:rPr>
              <w:t>$9.000B</w:t>
            </w:r>
          </w:p>
        </w:tc>
        <w:tc>
          <w:tcPr>
            <w:tcW w:w="440" w:type="dxa"/>
            <w:vAlign w:val="bottom"/>
          </w:tcPr>
          <w:p>
            <w:pPr>
              <w:spacing w:after="0"/>
              <w:rPr>
                <w:sz w:val="18"/>
                <w:szCs w:val="18"/>
                <w:color w:val="auto"/>
              </w:rPr>
            </w:pPr>
          </w:p>
        </w:tc>
        <w:tc>
          <w:tcPr>
            <w:tcW w:w="108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color w:val="auto"/>
              </w:rPr>
              <w:t>$9.100B</w:t>
            </w:r>
          </w:p>
        </w:tc>
        <w:tc>
          <w:tcPr>
            <w:tcW w:w="940" w:type="dxa"/>
            <w:vAlign w:val="bottom"/>
            <w:tcBorders>
              <w:right w:val="single" w:sz="8" w:color="auto"/>
            </w:tcBorders>
            <w:gridSpan w:val="3"/>
          </w:tcPr>
          <w:p>
            <w:pPr>
              <w:jc w:val="center"/>
              <w:ind w:right="200"/>
              <w:spacing w:after="0"/>
              <w:rPr>
                <w:sz w:val="20"/>
                <w:szCs w:val="20"/>
                <w:color w:val="auto"/>
              </w:rPr>
            </w:pPr>
            <w:r>
              <w:rPr>
                <w:rFonts w:ascii="Times New Roman" w:cs="Times New Roman" w:eastAsia="Times New Roman" w:hAnsi="Times New Roman"/>
                <w:sz w:val="18"/>
                <w:szCs w:val="18"/>
                <w:color w:val="auto"/>
              </w:rPr>
              <w:t>$9.200B</w:t>
            </w:r>
          </w:p>
        </w:tc>
        <w:tc>
          <w:tcPr>
            <w:tcW w:w="0" w:type="dxa"/>
            <w:vAlign w:val="bottom"/>
          </w:tcPr>
          <w:p>
            <w:pPr>
              <w:spacing w:after="0"/>
              <w:rPr>
                <w:sz w:val="1"/>
                <w:szCs w:val="1"/>
                <w:color w:val="auto"/>
              </w:rPr>
            </w:pPr>
          </w:p>
        </w:tc>
      </w:tr>
      <w:tr>
        <w:trPr>
          <w:trHeight w:val="255"/>
        </w:trPr>
        <w:tc>
          <w:tcPr>
            <w:tcW w:w="4260" w:type="dxa"/>
            <w:vAlign w:val="bottom"/>
            <w:tcBorders>
              <w:left w:val="single" w:sz="8" w:color="auto"/>
            </w:tcBorders>
          </w:tcPr>
          <w:p>
            <w:pPr>
              <w:ind w:left="120"/>
              <w:spacing w:after="0" w:line="255" w:lineRule="exact"/>
              <w:rPr>
                <w:sz w:val="20"/>
                <w:szCs w:val="20"/>
                <w:color w:val="auto"/>
              </w:rPr>
            </w:pPr>
            <w:r>
              <w:rPr>
                <w:rFonts w:ascii="Times New Roman" w:cs="Times New Roman" w:eastAsia="Times New Roman" w:hAnsi="Times New Roman"/>
                <w:sz w:val="18"/>
                <w:szCs w:val="18"/>
                <w:b w:val="1"/>
                <w:bCs w:val="1"/>
                <w:color w:val="auto"/>
              </w:rPr>
              <w:t>Adj. EBITDA</w:t>
            </w:r>
            <w:r>
              <w:rPr>
                <w:rFonts w:ascii="Times New Roman" w:cs="Times New Roman" w:eastAsia="Times New Roman" w:hAnsi="Times New Roman"/>
                <w:sz w:val="29"/>
                <w:szCs w:val="29"/>
                <w:b w:val="1"/>
                <w:bCs w:val="1"/>
                <w:color w:val="auto"/>
                <w:vertAlign w:val="superscript"/>
              </w:rPr>
              <w:t>*1</w:t>
            </w:r>
          </w:p>
        </w:tc>
        <w:tc>
          <w:tcPr>
            <w:tcW w:w="920" w:type="dxa"/>
            <w:vAlign w:val="bottom"/>
            <w:gridSpan w:val="3"/>
          </w:tcPr>
          <w:p>
            <w:pPr>
              <w:jc w:val="center"/>
              <w:ind w:left="110"/>
              <w:spacing w:after="0"/>
              <w:rPr>
                <w:sz w:val="20"/>
                <w:szCs w:val="20"/>
                <w:color w:val="auto"/>
              </w:rPr>
            </w:pPr>
            <w:r>
              <w:rPr>
                <w:rFonts w:ascii="Times New Roman" w:cs="Times New Roman" w:eastAsia="Times New Roman" w:hAnsi="Times New Roman"/>
                <w:sz w:val="18"/>
                <w:szCs w:val="18"/>
                <w:color w:val="auto"/>
                <w:w w:val="99"/>
              </w:rPr>
              <w:t>$680M</w:t>
            </w:r>
          </w:p>
        </w:tc>
        <w:tc>
          <w:tcPr>
            <w:tcW w:w="440" w:type="dxa"/>
            <w:vAlign w:val="bottom"/>
          </w:tcPr>
          <w:p>
            <w:pPr>
              <w:spacing w:after="0"/>
              <w:rPr>
                <w:sz w:val="22"/>
                <w:szCs w:val="22"/>
                <w:color w:val="auto"/>
              </w:rPr>
            </w:pPr>
          </w:p>
        </w:tc>
        <w:tc>
          <w:tcPr>
            <w:tcW w:w="108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color w:val="auto"/>
                <w:w w:val="99"/>
              </w:rPr>
              <w:t>$685M</w:t>
            </w:r>
          </w:p>
        </w:tc>
        <w:tc>
          <w:tcPr>
            <w:tcW w:w="1160" w:type="dxa"/>
            <w:vAlign w:val="bottom"/>
            <w:gridSpan w:val="4"/>
          </w:tcPr>
          <w:p>
            <w:pPr>
              <w:jc w:val="center"/>
              <w:ind w:right="440"/>
              <w:spacing w:after="0"/>
              <w:rPr>
                <w:sz w:val="20"/>
                <w:szCs w:val="20"/>
                <w:color w:val="auto"/>
              </w:rPr>
            </w:pPr>
            <w:r>
              <w:rPr>
                <w:rFonts w:ascii="Times New Roman" w:cs="Times New Roman" w:eastAsia="Times New Roman" w:hAnsi="Times New Roman"/>
                <w:sz w:val="18"/>
                <w:szCs w:val="18"/>
                <w:color w:val="auto"/>
                <w:w w:val="99"/>
              </w:rPr>
              <w:t>$690M</w:t>
            </w:r>
          </w:p>
        </w:tc>
        <w:tc>
          <w:tcPr>
            <w:tcW w:w="920" w:type="dxa"/>
            <w:vAlign w:val="bottom"/>
            <w:gridSpan w:val="3"/>
          </w:tcPr>
          <w:p>
            <w:pPr>
              <w:jc w:val="center"/>
              <w:ind w:left="130"/>
              <w:spacing w:after="0"/>
              <w:rPr>
                <w:sz w:val="20"/>
                <w:szCs w:val="20"/>
                <w:color w:val="auto"/>
              </w:rPr>
            </w:pPr>
            <w:r>
              <w:rPr>
                <w:rFonts w:ascii="Times New Roman" w:cs="Times New Roman" w:eastAsia="Times New Roman" w:hAnsi="Times New Roman"/>
                <w:sz w:val="18"/>
                <w:szCs w:val="18"/>
                <w:color w:val="auto"/>
              </w:rPr>
              <w:t>$2.710B</w:t>
            </w:r>
          </w:p>
        </w:tc>
        <w:tc>
          <w:tcPr>
            <w:tcW w:w="440" w:type="dxa"/>
            <w:vAlign w:val="bottom"/>
          </w:tcPr>
          <w:p>
            <w:pPr>
              <w:spacing w:after="0"/>
              <w:rPr>
                <w:sz w:val="22"/>
                <w:szCs w:val="22"/>
                <w:color w:val="auto"/>
              </w:rPr>
            </w:pPr>
          </w:p>
        </w:tc>
        <w:tc>
          <w:tcPr>
            <w:tcW w:w="108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color w:val="auto"/>
              </w:rPr>
              <w:t>$2.760B</w:t>
            </w:r>
          </w:p>
        </w:tc>
        <w:tc>
          <w:tcPr>
            <w:tcW w:w="940" w:type="dxa"/>
            <w:vAlign w:val="bottom"/>
            <w:tcBorders>
              <w:right w:val="single" w:sz="8" w:color="auto"/>
            </w:tcBorders>
            <w:gridSpan w:val="3"/>
          </w:tcPr>
          <w:p>
            <w:pPr>
              <w:jc w:val="center"/>
              <w:ind w:right="200"/>
              <w:spacing w:after="0"/>
              <w:rPr>
                <w:sz w:val="20"/>
                <w:szCs w:val="20"/>
                <w:color w:val="auto"/>
              </w:rPr>
            </w:pPr>
            <w:r>
              <w:rPr>
                <w:rFonts w:ascii="Times New Roman" w:cs="Times New Roman" w:eastAsia="Times New Roman" w:hAnsi="Times New Roman"/>
                <w:sz w:val="18"/>
                <w:szCs w:val="18"/>
                <w:color w:val="auto"/>
              </w:rPr>
              <w:t>$2.810B</w:t>
            </w:r>
          </w:p>
        </w:tc>
        <w:tc>
          <w:tcPr>
            <w:tcW w:w="0" w:type="dxa"/>
            <w:vAlign w:val="bottom"/>
          </w:tcPr>
          <w:p>
            <w:pPr>
              <w:spacing w:after="0"/>
              <w:rPr>
                <w:sz w:val="1"/>
                <w:szCs w:val="1"/>
                <w:color w:val="auto"/>
              </w:rPr>
            </w:pPr>
          </w:p>
        </w:tc>
      </w:tr>
      <w:tr>
        <w:trPr>
          <w:trHeight w:val="258"/>
        </w:trPr>
        <w:tc>
          <w:tcPr>
            <w:tcW w:w="4260" w:type="dxa"/>
            <w:vAlign w:val="bottom"/>
            <w:tcBorders>
              <w:left w:val="single" w:sz="8" w:color="auto"/>
            </w:tcBorders>
          </w:tcPr>
          <w:p>
            <w:pPr>
              <w:ind w:left="120"/>
              <w:spacing w:after="0" w:line="258" w:lineRule="exact"/>
              <w:rPr>
                <w:sz w:val="20"/>
                <w:szCs w:val="20"/>
                <w:color w:val="auto"/>
              </w:rPr>
            </w:pPr>
            <w:r>
              <w:rPr>
                <w:rFonts w:ascii="Times New Roman" w:cs="Times New Roman" w:eastAsia="Times New Roman" w:hAnsi="Times New Roman"/>
                <w:sz w:val="18"/>
                <w:szCs w:val="18"/>
                <w:b w:val="1"/>
                <w:bCs w:val="1"/>
                <w:color w:val="auto"/>
              </w:rPr>
              <w:t>Adj. EBITDA Margin</w:t>
            </w:r>
            <w:r>
              <w:rPr>
                <w:rFonts w:ascii="Times New Roman" w:cs="Times New Roman" w:eastAsia="Times New Roman" w:hAnsi="Times New Roman"/>
                <w:sz w:val="29"/>
                <w:szCs w:val="29"/>
                <w:b w:val="1"/>
                <w:bCs w:val="1"/>
                <w:color w:val="auto"/>
                <w:vertAlign w:val="superscript"/>
              </w:rPr>
              <w:t>*1</w:t>
            </w:r>
          </w:p>
        </w:tc>
        <w:tc>
          <w:tcPr>
            <w:tcW w:w="920" w:type="dxa"/>
            <w:vAlign w:val="bottom"/>
            <w:gridSpan w:val="3"/>
          </w:tcPr>
          <w:p>
            <w:pPr>
              <w:jc w:val="center"/>
              <w:ind w:left="110"/>
              <w:spacing w:after="0"/>
              <w:rPr>
                <w:sz w:val="20"/>
                <w:szCs w:val="20"/>
                <w:color w:val="auto"/>
              </w:rPr>
            </w:pPr>
            <w:r>
              <w:rPr>
                <w:rFonts w:ascii="Times New Roman" w:cs="Times New Roman" w:eastAsia="Times New Roman" w:hAnsi="Times New Roman"/>
                <w:sz w:val="18"/>
                <w:szCs w:val="18"/>
                <w:i w:val="1"/>
                <w:iCs w:val="1"/>
                <w:color w:val="auto"/>
              </w:rPr>
              <w:t>30.6%</w:t>
            </w:r>
          </w:p>
        </w:tc>
        <w:tc>
          <w:tcPr>
            <w:tcW w:w="1080" w:type="dxa"/>
            <w:vAlign w:val="bottom"/>
            <w:gridSpan w:val="2"/>
          </w:tcPr>
          <w:p>
            <w:pPr>
              <w:jc w:val="center"/>
              <w:ind w:left="350"/>
              <w:spacing w:after="0"/>
              <w:rPr>
                <w:sz w:val="20"/>
                <w:szCs w:val="20"/>
                <w:color w:val="auto"/>
              </w:rPr>
            </w:pPr>
            <w:r>
              <w:rPr>
                <w:rFonts w:ascii="Times New Roman" w:cs="Times New Roman" w:eastAsia="Times New Roman" w:hAnsi="Times New Roman"/>
                <w:sz w:val="18"/>
                <w:szCs w:val="18"/>
                <w:i w:val="1"/>
                <w:iCs w:val="1"/>
                <w:color w:val="auto"/>
              </w:rPr>
              <w:t>30.6%</w:t>
            </w:r>
          </w:p>
        </w:tc>
        <w:tc>
          <w:tcPr>
            <w:tcW w:w="440" w:type="dxa"/>
            <w:vAlign w:val="bottom"/>
          </w:tcPr>
          <w:p>
            <w:pPr>
              <w:spacing w:after="0"/>
              <w:rPr>
                <w:sz w:val="22"/>
                <w:szCs w:val="22"/>
                <w:color w:val="auto"/>
              </w:rPr>
            </w:pPr>
          </w:p>
        </w:tc>
        <w:tc>
          <w:tcPr>
            <w:tcW w:w="92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i w:val="1"/>
                <w:iCs w:val="1"/>
                <w:color w:val="auto"/>
              </w:rPr>
              <w:t>30.7%</w:t>
            </w:r>
          </w:p>
        </w:tc>
        <w:tc>
          <w:tcPr>
            <w:tcW w:w="240" w:type="dxa"/>
            <w:vAlign w:val="bottom"/>
          </w:tcPr>
          <w:p>
            <w:pPr>
              <w:spacing w:after="0"/>
              <w:rPr>
                <w:sz w:val="22"/>
                <w:szCs w:val="22"/>
                <w:color w:val="auto"/>
              </w:rPr>
            </w:pPr>
          </w:p>
        </w:tc>
        <w:tc>
          <w:tcPr>
            <w:tcW w:w="920" w:type="dxa"/>
            <w:vAlign w:val="bottom"/>
            <w:gridSpan w:val="3"/>
          </w:tcPr>
          <w:p>
            <w:pPr>
              <w:jc w:val="center"/>
              <w:ind w:left="130"/>
              <w:spacing w:after="0"/>
              <w:rPr>
                <w:sz w:val="20"/>
                <w:szCs w:val="20"/>
                <w:color w:val="auto"/>
              </w:rPr>
            </w:pPr>
            <w:r>
              <w:rPr>
                <w:rFonts w:ascii="Times New Roman" w:cs="Times New Roman" w:eastAsia="Times New Roman" w:hAnsi="Times New Roman"/>
                <w:sz w:val="18"/>
                <w:szCs w:val="18"/>
                <w:i w:val="1"/>
                <w:iCs w:val="1"/>
                <w:color w:val="auto"/>
                <w:w w:val="98"/>
              </w:rPr>
              <w:t>30.1%</w:t>
            </w:r>
          </w:p>
        </w:tc>
        <w:tc>
          <w:tcPr>
            <w:tcW w:w="1080" w:type="dxa"/>
            <w:vAlign w:val="bottom"/>
            <w:gridSpan w:val="2"/>
          </w:tcPr>
          <w:p>
            <w:pPr>
              <w:jc w:val="center"/>
              <w:ind w:left="370"/>
              <w:spacing w:after="0"/>
              <w:rPr>
                <w:sz w:val="20"/>
                <w:szCs w:val="20"/>
                <w:color w:val="auto"/>
              </w:rPr>
            </w:pPr>
            <w:r>
              <w:rPr>
                <w:rFonts w:ascii="Times New Roman" w:cs="Times New Roman" w:eastAsia="Times New Roman" w:hAnsi="Times New Roman"/>
                <w:sz w:val="18"/>
                <w:szCs w:val="18"/>
                <w:i w:val="1"/>
                <w:iCs w:val="1"/>
                <w:color w:val="auto"/>
                <w:w w:val="98"/>
              </w:rPr>
              <w:t>30.3%</w:t>
            </w:r>
          </w:p>
        </w:tc>
        <w:tc>
          <w:tcPr>
            <w:tcW w:w="440" w:type="dxa"/>
            <w:vAlign w:val="bottom"/>
          </w:tcPr>
          <w:p>
            <w:pPr>
              <w:spacing w:after="0"/>
              <w:rPr>
                <w:sz w:val="22"/>
                <w:szCs w:val="22"/>
                <w:color w:val="auto"/>
              </w:rPr>
            </w:pPr>
          </w:p>
        </w:tc>
        <w:tc>
          <w:tcPr>
            <w:tcW w:w="940" w:type="dxa"/>
            <w:vAlign w:val="bottom"/>
            <w:tcBorders>
              <w:right w:val="single" w:sz="8" w:color="auto"/>
            </w:tcBorders>
            <w:gridSpan w:val="3"/>
          </w:tcPr>
          <w:p>
            <w:pPr>
              <w:jc w:val="center"/>
              <w:ind w:right="200"/>
              <w:spacing w:after="0"/>
              <w:rPr>
                <w:sz w:val="20"/>
                <w:szCs w:val="20"/>
                <w:color w:val="auto"/>
              </w:rPr>
            </w:pPr>
            <w:r>
              <w:rPr>
                <w:rFonts w:ascii="Times New Roman" w:cs="Times New Roman" w:eastAsia="Times New Roman" w:hAnsi="Times New Roman"/>
                <w:sz w:val="18"/>
                <w:szCs w:val="18"/>
                <w:i w:val="1"/>
                <w:iCs w:val="1"/>
                <w:color w:val="auto"/>
                <w:w w:val="98"/>
              </w:rPr>
              <w:t>30.5%</w:t>
            </w:r>
          </w:p>
        </w:tc>
        <w:tc>
          <w:tcPr>
            <w:tcW w:w="0" w:type="dxa"/>
            <w:vAlign w:val="bottom"/>
          </w:tcPr>
          <w:p>
            <w:pPr>
              <w:spacing w:after="0"/>
              <w:rPr>
                <w:sz w:val="1"/>
                <w:szCs w:val="1"/>
                <w:color w:val="auto"/>
              </w:rPr>
            </w:pPr>
          </w:p>
        </w:tc>
      </w:tr>
      <w:tr>
        <w:trPr>
          <w:trHeight w:val="256"/>
        </w:trPr>
        <w:tc>
          <w:tcPr>
            <w:tcW w:w="4260" w:type="dxa"/>
            <w:vAlign w:val="bottom"/>
            <w:tcBorders>
              <w:left w:val="single" w:sz="8" w:color="auto"/>
            </w:tcBorders>
          </w:tcPr>
          <w:p>
            <w:pPr>
              <w:ind w:left="120"/>
              <w:spacing w:after="0" w:line="256" w:lineRule="exact"/>
              <w:rPr>
                <w:sz w:val="20"/>
                <w:szCs w:val="20"/>
                <w:color w:val="auto"/>
              </w:rPr>
            </w:pPr>
            <w:r>
              <w:rPr>
                <w:rFonts w:ascii="Times New Roman" w:cs="Times New Roman" w:eastAsia="Times New Roman" w:hAnsi="Times New Roman"/>
                <w:sz w:val="18"/>
                <w:szCs w:val="18"/>
                <w:b w:val="1"/>
                <w:bCs w:val="1"/>
                <w:color w:val="auto"/>
              </w:rPr>
              <w:t>Adj. Earnings per Share</w:t>
            </w:r>
            <w:r>
              <w:rPr>
                <w:rFonts w:ascii="Times New Roman" w:cs="Times New Roman" w:eastAsia="Times New Roman" w:hAnsi="Times New Roman"/>
                <w:sz w:val="29"/>
                <w:szCs w:val="29"/>
                <w:b w:val="1"/>
                <w:bCs w:val="1"/>
                <w:color w:val="auto"/>
                <w:vertAlign w:val="superscript"/>
              </w:rPr>
              <w:t>*1</w:t>
            </w:r>
          </w:p>
        </w:tc>
        <w:tc>
          <w:tcPr>
            <w:tcW w:w="920" w:type="dxa"/>
            <w:vAlign w:val="bottom"/>
            <w:gridSpan w:val="3"/>
          </w:tcPr>
          <w:p>
            <w:pPr>
              <w:jc w:val="center"/>
              <w:ind w:left="110"/>
              <w:spacing w:after="0"/>
              <w:rPr>
                <w:sz w:val="20"/>
                <w:szCs w:val="20"/>
                <w:color w:val="auto"/>
              </w:rPr>
            </w:pPr>
            <w:r>
              <w:rPr>
                <w:rFonts w:ascii="Times New Roman" w:cs="Times New Roman" w:eastAsia="Times New Roman" w:hAnsi="Times New Roman"/>
                <w:sz w:val="18"/>
                <w:szCs w:val="18"/>
                <w:color w:val="auto"/>
                <w:w w:val="98"/>
              </w:rPr>
              <w:t>$1.09</w:t>
            </w:r>
          </w:p>
        </w:tc>
        <w:tc>
          <w:tcPr>
            <w:tcW w:w="1080" w:type="dxa"/>
            <w:vAlign w:val="bottom"/>
            <w:gridSpan w:val="2"/>
          </w:tcPr>
          <w:p>
            <w:pPr>
              <w:jc w:val="center"/>
              <w:ind w:left="350"/>
              <w:spacing w:after="0"/>
              <w:rPr>
                <w:sz w:val="20"/>
                <w:szCs w:val="20"/>
                <w:color w:val="auto"/>
              </w:rPr>
            </w:pPr>
            <w:r>
              <w:rPr>
                <w:rFonts w:ascii="Times New Roman" w:cs="Times New Roman" w:eastAsia="Times New Roman" w:hAnsi="Times New Roman"/>
                <w:sz w:val="18"/>
                <w:szCs w:val="18"/>
                <w:color w:val="auto"/>
                <w:w w:val="98"/>
              </w:rPr>
              <w:t>$1.10</w:t>
            </w:r>
          </w:p>
        </w:tc>
        <w:tc>
          <w:tcPr>
            <w:tcW w:w="440" w:type="dxa"/>
            <w:vAlign w:val="bottom"/>
          </w:tcPr>
          <w:p>
            <w:pPr>
              <w:spacing w:after="0"/>
              <w:rPr>
                <w:sz w:val="22"/>
                <w:szCs w:val="22"/>
                <w:color w:val="auto"/>
              </w:rPr>
            </w:pPr>
          </w:p>
        </w:tc>
        <w:tc>
          <w:tcPr>
            <w:tcW w:w="92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color w:val="auto"/>
                <w:w w:val="98"/>
              </w:rPr>
              <w:t>$1.11</w:t>
            </w:r>
          </w:p>
        </w:tc>
        <w:tc>
          <w:tcPr>
            <w:tcW w:w="240" w:type="dxa"/>
            <w:vAlign w:val="bottom"/>
          </w:tcPr>
          <w:p>
            <w:pPr>
              <w:spacing w:after="0"/>
              <w:rPr>
                <w:sz w:val="22"/>
                <w:szCs w:val="22"/>
                <w:color w:val="auto"/>
              </w:rPr>
            </w:pPr>
          </w:p>
        </w:tc>
        <w:tc>
          <w:tcPr>
            <w:tcW w:w="920" w:type="dxa"/>
            <w:vAlign w:val="bottom"/>
            <w:gridSpan w:val="3"/>
          </w:tcPr>
          <w:p>
            <w:pPr>
              <w:jc w:val="center"/>
              <w:ind w:left="110"/>
              <w:spacing w:after="0"/>
              <w:rPr>
                <w:sz w:val="20"/>
                <w:szCs w:val="20"/>
                <w:color w:val="auto"/>
              </w:rPr>
            </w:pPr>
            <w:r>
              <w:rPr>
                <w:rFonts w:ascii="Times New Roman" w:cs="Times New Roman" w:eastAsia="Times New Roman" w:hAnsi="Times New Roman"/>
                <w:sz w:val="18"/>
                <w:szCs w:val="18"/>
                <w:color w:val="auto"/>
                <w:w w:val="98"/>
              </w:rPr>
              <w:t>$4.35</w:t>
            </w:r>
          </w:p>
        </w:tc>
        <w:tc>
          <w:tcPr>
            <w:tcW w:w="1080" w:type="dxa"/>
            <w:vAlign w:val="bottom"/>
            <w:gridSpan w:val="2"/>
          </w:tcPr>
          <w:p>
            <w:pPr>
              <w:jc w:val="center"/>
              <w:ind w:left="350"/>
              <w:spacing w:after="0"/>
              <w:rPr>
                <w:sz w:val="20"/>
                <w:szCs w:val="20"/>
                <w:color w:val="auto"/>
              </w:rPr>
            </w:pPr>
            <w:r>
              <w:rPr>
                <w:rFonts w:ascii="Times New Roman" w:cs="Times New Roman" w:eastAsia="Times New Roman" w:hAnsi="Times New Roman"/>
                <w:sz w:val="18"/>
                <w:szCs w:val="18"/>
                <w:color w:val="auto"/>
                <w:w w:val="98"/>
              </w:rPr>
              <w:t>$4.45</w:t>
            </w:r>
          </w:p>
        </w:tc>
        <w:tc>
          <w:tcPr>
            <w:tcW w:w="440" w:type="dxa"/>
            <w:vAlign w:val="bottom"/>
          </w:tcPr>
          <w:p>
            <w:pPr>
              <w:spacing w:after="0"/>
              <w:rPr>
                <w:sz w:val="22"/>
                <w:szCs w:val="22"/>
                <w:color w:val="auto"/>
              </w:rPr>
            </w:pPr>
          </w:p>
        </w:tc>
        <w:tc>
          <w:tcPr>
            <w:tcW w:w="940" w:type="dxa"/>
            <w:vAlign w:val="bottom"/>
            <w:tcBorders>
              <w:right w:val="single" w:sz="8" w:color="auto"/>
            </w:tcBorders>
            <w:gridSpan w:val="3"/>
          </w:tcPr>
          <w:p>
            <w:pPr>
              <w:jc w:val="center"/>
              <w:ind w:right="220"/>
              <w:spacing w:after="0"/>
              <w:rPr>
                <w:sz w:val="20"/>
                <w:szCs w:val="20"/>
                <w:color w:val="auto"/>
              </w:rPr>
            </w:pPr>
            <w:r>
              <w:rPr>
                <w:rFonts w:ascii="Times New Roman" w:cs="Times New Roman" w:eastAsia="Times New Roman" w:hAnsi="Times New Roman"/>
                <w:sz w:val="18"/>
                <w:szCs w:val="18"/>
                <w:color w:val="auto"/>
                <w:w w:val="98"/>
              </w:rPr>
              <w:t>$4.55</w:t>
            </w:r>
          </w:p>
        </w:tc>
        <w:tc>
          <w:tcPr>
            <w:tcW w:w="0" w:type="dxa"/>
            <w:vAlign w:val="bottom"/>
          </w:tcPr>
          <w:p>
            <w:pPr>
              <w:spacing w:after="0"/>
              <w:rPr>
                <w:sz w:val="1"/>
                <w:szCs w:val="1"/>
                <w:color w:val="auto"/>
              </w:rPr>
            </w:pPr>
          </w:p>
        </w:tc>
      </w:tr>
      <w:tr>
        <w:trPr>
          <w:trHeight w:val="275"/>
        </w:trPr>
        <w:tc>
          <w:tcPr>
            <w:tcW w:w="4260" w:type="dxa"/>
            <w:vAlign w:val="bottom"/>
            <w:tcBorders>
              <w:left w:val="single" w:sz="8" w:color="auto"/>
              <w:bottom w:val="single" w:sz="8" w:color="auto"/>
            </w:tcBorders>
          </w:tcPr>
          <w:p>
            <w:pPr>
              <w:ind w:left="120"/>
              <w:spacing w:after="0" w:line="276" w:lineRule="exact"/>
              <w:rPr>
                <w:sz w:val="20"/>
                <w:szCs w:val="20"/>
                <w:color w:val="auto"/>
              </w:rPr>
            </w:pPr>
            <w:r>
              <w:rPr>
                <w:rFonts w:ascii="Times New Roman" w:cs="Times New Roman" w:eastAsia="Times New Roman" w:hAnsi="Times New Roman"/>
                <w:sz w:val="18"/>
                <w:szCs w:val="18"/>
                <w:b w:val="1"/>
                <w:bCs w:val="1"/>
                <w:color w:val="auto"/>
              </w:rPr>
              <w:t>Free Cash Flow</w:t>
            </w:r>
            <w:r>
              <w:rPr>
                <w:rFonts w:ascii="Times New Roman" w:cs="Times New Roman" w:eastAsia="Times New Roman" w:hAnsi="Times New Roman"/>
                <w:sz w:val="29"/>
                <w:szCs w:val="29"/>
                <w:b w:val="1"/>
                <w:bCs w:val="1"/>
                <w:color w:val="auto"/>
                <w:vertAlign w:val="superscript"/>
              </w:rPr>
              <w:t>1</w:t>
            </w:r>
          </w:p>
        </w:tc>
        <w:tc>
          <w:tcPr>
            <w:tcW w:w="400" w:type="dxa"/>
            <w:vAlign w:val="bottom"/>
            <w:tcBorders>
              <w:bottom w:val="single" w:sz="8" w:color="auto"/>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440" w:type="dxa"/>
            <w:vAlign w:val="bottom"/>
            <w:tcBorders>
              <w:bottom w:val="single" w:sz="8" w:color="auto"/>
            </w:tcBorders>
          </w:tcPr>
          <w:p>
            <w:pPr>
              <w:spacing w:after="0"/>
              <w:rPr>
                <w:sz w:val="23"/>
                <w:szCs w:val="23"/>
                <w:color w:val="auto"/>
              </w:rPr>
            </w:pPr>
          </w:p>
        </w:tc>
        <w:tc>
          <w:tcPr>
            <w:tcW w:w="640" w:type="dxa"/>
            <w:vAlign w:val="bottom"/>
            <w:tcBorders>
              <w:bottom w:val="single" w:sz="8" w:color="auto"/>
            </w:tcBorders>
          </w:tcPr>
          <w:p>
            <w:pPr>
              <w:spacing w:after="0"/>
              <w:rPr>
                <w:sz w:val="23"/>
                <w:szCs w:val="23"/>
                <w:color w:val="auto"/>
              </w:rPr>
            </w:pPr>
          </w:p>
        </w:tc>
        <w:tc>
          <w:tcPr>
            <w:tcW w:w="440" w:type="dxa"/>
            <w:vAlign w:val="bottom"/>
            <w:tcBorders>
              <w:bottom w:val="single" w:sz="8" w:color="auto"/>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gridSpan w:val="3"/>
          </w:tcPr>
          <w:p>
            <w:pPr>
              <w:jc w:val="center"/>
              <w:ind w:left="130"/>
              <w:spacing w:after="0"/>
              <w:rPr>
                <w:sz w:val="20"/>
                <w:szCs w:val="20"/>
                <w:color w:val="auto"/>
              </w:rPr>
            </w:pPr>
            <w:r>
              <w:rPr>
                <w:rFonts w:ascii="Times New Roman" w:cs="Times New Roman" w:eastAsia="Times New Roman" w:hAnsi="Times New Roman"/>
                <w:sz w:val="18"/>
                <w:szCs w:val="18"/>
                <w:color w:val="auto"/>
              </w:rPr>
              <w:t>$1.550B</w:t>
            </w:r>
          </w:p>
        </w:tc>
        <w:tc>
          <w:tcPr>
            <w:tcW w:w="44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gridSpan w:val="2"/>
          </w:tcPr>
          <w:p>
            <w:pPr>
              <w:jc w:val="center"/>
              <w:ind w:right="420"/>
              <w:spacing w:after="0"/>
              <w:rPr>
                <w:sz w:val="20"/>
                <w:szCs w:val="20"/>
                <w:color w:val="auto"/>
              </w:rPr>
            </w:pPr>
            <w:r>
              <w:rPr>
                <w:rFonts w:ascii="Times New Roman" w:cs="Times New Roman" w:eastAsia="Times New Roman" w:hAnsi="Times New Roman"/>
                <w:sz w:val="18"/>
                <w:szCs w:val="18"/>
                <w:color w:val="auto"/>
              </w:rPr>
              <w:t>$1.600B</w:t>
            </w:r>
          </w:p>
        </w:tc>
        <w:tc>
          <w:tcPr>
            <w:tcW w:w="940" w:type="dxa"/>
            <w:vAlign w:val="bottom"/>
            <w:tcBorders>
              <w:bottom w:val="single" w:sz="8" w:color="auto"/>
              <w:right w:val="single" w:sz="8" w:color="auto"/>
            </w:tcBorders>
            <w:gridSpan w:val="3"/>
          </w:tcPr>
          <w:p>
            <w:pPr>
              <w:jc w:val="center"/>
              <w:ind w:right="200"/>
              <w:spacing w:after="0"/>
              <w:rPr>
                <w:sz w:val="20"/>
                <w:szCs w:val="20"/>
                <w:color w:val="auto"/>
              </w:rPr>
            </w:pPr>
            <w:r>
              <w:rPr>
                <w:rFonts w:ascii="Times New Roman" w:cs="Times New Roman" w:eastAsia="Times New Roman" w:hAnsi="Times New Roman"/>
                <w:sz w:val="18"/>
                <w:szCs w:val="18"/>
                <w:color w:val="auto"/>
              </w:rPr>
              <w:t>$1.650B</w:t>
            </w:r>
          </w:p>
        </w:tc>
        <w:tc>
          <w:tcPr>
            <w:tcW w:w="0" w:type="dxa"/>
            <w:vAlign w:val="bottom"/>
          </w:tcPr>
          <w:p>
            <w:pPr>
              <w:spacing w:after="0"/>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Announcements</w:t>
      </w:r>
    </w:p>
    <w:p>
      <w:pPr>
        <w:spacing w:after="0" w:line="229" w:lineRule="exact"/>
        <w:rPr>
          <w:sz w:val="20"/>
          <w:szCs w:val="20"/>
          <w:color w:val="auto"/>
        </w:rPr>
      </w:pPr>
    </w:p>
    <w:p>
      <w:pPr>
        <w:ind w:left="660" w:right="320" w:hanging="328"/>
        <w:spacing w:after="0" w:line="261"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Entered into definitive agreement to acquire Consolidated Aerospace Manufacturing, LLC (CAM) from Stanley Black &amp; Decker, Inc. (NYSE: SWK) for an all-cash purchase price of approximately $1.8 billion on December 22, 2025</w:t>
      </w:r>
    </w:p>
    <w:p>
      <w:pPr>
        <w:ind w:left="660" w:right="720" w:hanging="328"/>
        <w:spacing w:after="0" w:line="250"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Acquired Brunner Manufacturing Co. Inc., a small, privately held producer of high-quality fastener products in an all-cash transaction on February 6, 2026</w:t>
      </w: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Repurchased $200 million of common stock in fourth quarter 2025 at an average price of $194.61 per share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Repurchased additional $150 million of common stock in 2026 year to date at an average price of $215.28 per share</w:t>
      </w:r>
    </w:p>
    <w:p>
      <w:pPr>
        <w:spacing w:after="0" w:line="9" w:lineRule="exact"/>
        <w:rPr>
          <w:rFonts w:ascii="Times New Roman" w:cs="Times New Roman" w:eastAsia="Times New Roman" w:hAnsi="Times New Roman"/>
          <w:sz w:val="18"/>
          <w:szCs w:val="18"/>
          <w:color w:val="auto"/>
        </w:rPr>
      </w:pPr>
    </w:p>
    <w:p>
      <w:pPr>
        <w:ind w:left="660" w:right="360" w:hanging="328"/>
        <w:spacing w:after="0" w:line="250"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Paid a quarterly dividend of $0.12 per share on common stock in fourth quarter 2025, up 50% YoY. Declared a dividend of $0.12 per share on common stock in the first quarter 2026</w:t>
      </w:r>
    </w:p>
    <w:p>
      <w:pPr>
        <w:ind w:left="660" w:right="300" w:hanging="328"/>
        <w:spacing w:after="0" w:line="250"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Issued $500 million of 4.55% Notes due 2032; Redeemed all outstanding principal amount of $625 million of 5.90% Notes due 2027; Reduces annualized interest expense by approximately $14 million. Debt actions taken during 2025 reduced debt by approximately $265 million and annualized interest expense by approximately $22 million</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Redeemed all outstanding Preferred Stock in fourth quarter 2025 for approximately $55 million</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gross pension obligation by approximately $125 million by annuitizing the remainder of the Company’s UK pension plan</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FY 2026: Revenue growth guidance at approximately 10%, Expect improved profit and cash generation</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Combined the revenue disclosure for the Industrial Gas Turbine and Oil &amp; Gas markets into Gas Turbines</w:t>
      </w:r>
    </w:p>
    <w:p>
      <w:pPr>
        <w:spacing w:after="0" w:line="203" w:lineRule="exact"/>
        <w:rPr>
          <w:sz w:val="20"/>
          <w:szCs w:val="20"/>
          <w:color w:val="auto"/>
        </w:rPr>
      </w:pPr>
    </w:p>
    <w:p>
      <w:pPr>
        <w:ind w:right="1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PITTSBURGH, PA, February 12, 2026 – </w:t>
      </w:r>
      <w:r>
        <w:rPr>
          <w:rFonts w:ascii="Times New Roman" w:cs="Times New Roman" w:eastAsia="Times New Roman" w:hAnsi="Times New Roman"/>
          <w:sz w:val="18"/>
          <w:szCs w:val="18"/>
          <w:color w:val="auto"/>
        </w:rPr>
        <w:t>Howmet Aerospace (NYSE: HWM) today reported fourth quarter and full year 2025 results. The Company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reported record fourth quarter 2025 revenue of $2.2 billion, up 15% year over year, driven by growth in the commercial aerospace market of 13%, growth in the defense aerospace market of 20%, and growth in the gas turbines market of 32%.</w:t>
      </w:r>
    </w:p>
    <w:p>
      <w:pPr>
        <w:spacing w:after="0" w:line="17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Howmet Aerospace reported Net Income of $372 million, or $0.92 per share, in the fourth quarter 2025 versus $314 million, or $0.77 per share, in the fourth quarter 2024. Fourth quarter 2025 Net Income included approximately $54 million in net charges from special items, primarily due to a non-cash settlement charge to annuitize the remainder of the Company’s UK pension plan. Net Income excluding special items was $426 million in the fourth quarter 2025, up 41% versus $303 million in the fourth quarter 2024. Adjusted EPS* in the fourth quarter 2025 were $1.05, up 42% versus $0.74 in the fourth quarter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162560</wp:posOffset>
            </wp:positionV>
            <wp:extent cx="178308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Excluding special items</w:t>
      </w:r>
    </w:p>
    <w:p>
      <w:pPr>
        <w:spacing w:after="0" w:line="266" w:lineRule="exact"/>
        <w:rPr>
          <w:sz w:val="20"/>
          <w:szCs w:val="20"/>
          <w:color w:val="auto"/>
        </w:rPr>
      </w:pPr>
    </w:p>
    <w:p>
      <w:pPr>
        <w:jc w:val="both"/>
        <w:ind w:right="80" w:firstLine="8"/>
        <w:spacing w:after="0" w:line="210" w:lineRule="auto"/>
        <w:tabs>
          <w:tab w:leader="none" w:pos="120" w:val="left"/>
        </w:tabs>
        <w:numPr>
          <w:ilvl w:val="0"/>
          <w:numId w:val="7"/>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Reconciliations of the forward-looking non-GAAP measures to the most directly comparable GAAP measures, as well as the directly comparable GAAP measures, are not available without unreasonable efforts due to the variability and complexity of the charges and other components excluded from the non-GAAP measures – for further detail, see “2026 Guidance” below.</w:t>
      </w: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 w:name="page6"/>
    <w:bookmarkEnd w:id="5"/>
    <w:p>
      <w:pPr>
        <w:ind w:right="220"/>
        <w:spacing w:after="0" w:line="266" w:lineRule="auto"/>
        <w:rPr>
          <w:sz w:val="20"/>
          <w:szCs w:val="20"/>
          <w:color w:val="auto"/>
        </w:rPr>
      </w:pPr>
      <w:r>
        <w:rPr>
          <w:rFonts w:ascii="Times New Roman" w:cs="Times New Roman" w:eastAsia="Times New Roman" w:hAnsi="Times New Roman"/>
          <w:sz w:val="18"/>
          <w:szCs w:val="18"/>
          <w:color w:val="auto"/>
        </w:rPr>
        <w:t>Fourth quarter 2025 Operating Income was $489 million, up 10% year over year. Fourth quarter Adjusted Operating Income excluding special items was $580, up 34% year over year. Operating Income Margin was 22.6%, down approximately 90 basis points year over year. Fourth quarter 2025 Adjusted Operating Income Margin excluding special items was 26.8%, up approximately 380 basis points year over year.</w:t>
      </w:r>
    </w:p>
    <w:p>
      <w:pPr>
        <w:spacing w:after="0" w:line="176"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Fourth quarter 2025 Adjusted EBITDA excluding special items was $653 million, up 29% year over year. The year-over-year increase was driven by strong growth in the commercial aerospace, defense aerospace, and gas turbines markets. Adjusted EBITDA margin excluding special items was up approximately 330 basis points year over year at 30.1%.</w:t>
      </w:r>
    </w:p>
    <w:p>
      <w:pPr>
        <w:spacing w:after="0" w:line="176"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Company reported record full year 2025 revenue of $8.3 billion, up 11% year over year, driven by growth in the commercial aerospace market of 12%, growth in the defense aerospace market of 21%, and growth in the gas turbines market of 25%, partially offset by declines in the commercial transportation market of 5%.</w:t>
      </w:r>
    </w:p>
    <w:p>
      <w:pPr>
        <w:spacing w:after="0" w:line="176"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The Company reported Net Income of $1.5 billion, or $3.71 per share, in the full year 2025 versus $1.2 billion, or $2.81 per share, in the full year 2024, and included approximately $25 million in net charges from special items, primarily due to a non-cash settlement charge to annuitize the remainder of the Company’s UK pension plan. Net Income excluding special items was $1.5 billion, or $3.77 per share, in the full year 2025, versus $1.1 billion, or $2.69 per share, in the full year 2024.</w:t>
      </w:r>
    </w:p>
    <w:p>
      <w:pPr>
        <w:spacing w:after="0" w:line="180" w:lineRule="exact"/>
        <w:rPr>
          <w:sz w:val="20"/>
          <w:szCs w:val="20"/>
          <w:color w:val="auto"/>
        </w:rPr>
      </w:pPr>
    </w:p>
    <w:p>
      <w:pPr>
        <w:jc w:val="both"/>
        <w:ind w:right="260"/>
        <w:spacing w:after="0" w:line="266" w:lineRule="auto"/>
        <w:rPr>
          <w:sz w:val="20"/>
          <w:szCs w:val="20"/>
          <w:color w:val="auto"/>
        </w:rPr>
      </w:pPr>
      <w:r>
        <w:rPr>
          <w:rFonts w:ascii="Times New Roman" w:cs="Times New Roman" w:eastAsia="Times New Roman" w:hAnsi="Times New Roman"/>
          <w:sz w:val="18"/>
          <w:szCs w:val="18"/>
          <w:color w:val="auto"/>
        </w:rPr>
        <w:t>Full year 2025 Operating Income was $2.0 billion, up 25% year over year. Full year 2025 Adjusted Operating Income excluding special items was $2.1 billion, up 30% year over year. Operating Income Margin was up approximately 280 basis points year over year at 24.8% in the full year 2025. Full year 2025 Adjusted Operating Income Margin excluding special items was 25.8%, up approximately 380 basis points year over year.</w:t>
      </w:r>
    </w:p>
    <w:p>
      <w:pPr>
        <w:spacing w:after="0" w:line="176"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Full year 2025 Adjusted EBITDA excluding special items was $2.4 billion, up 26% year over year. The year-over-year increase was driven by growth in the commercial aerospace, defense aerospace, and gas turbines markets, partially offset by declines in the commercial transportation market. Adjusted EBITDA Margin excluding special items was up approximately 350 basis points year over year at 29.3%.</w:t>
      </w:r>
    </w:p>
    <w:p>
      <w:pPr>
        <w:spacing w:after="0" w:line="176" w:lineRule="exact"/>
        <w:rPr>
          <w:sz w:val="20"/>
          <w:szCs w:val="20"/>
          <w:color w:val="auto"/>
        </w:rPr>
      </w:pPr>
    </w:p>
    <w:p>
      <w:pPr>
        <w:ind w:right="120"/>
        <w:spacing w:after="0" w:line="276" w:lineRule="auto"/>
        <w:rPr>
          <w:sz w:val="20"/>
          <w:szCs w:val="20"/>
          <w:color w:val="auto"/>
        </w:rPr>
      </w:pPr>
      <w:r>
        <w:rPr>
          <w:rFonts w:ascii="Times New Roman" w:cs="Times New Roman" w:eastAsia="Times New Roman" w:hAnsi="Times New Roman"/>
          <w:sz w:val="17"/>
          <w:szCs w:val="17"/>
          <w:color w:val="auto"/>
        </w:rPr>
        <w:t>Howmet Aerospace Executive Chairman and Chief Executive Officer John Plant said, “The Howmet team delivered an exceptional quarter to cap a strong 2025. Revenue growth accelerated in the fourth quarter 2025 to 15% year over year, reflecting healthy growth in the commercial aerospace, defense</w:t>
      </w:r>
    </w:p>
    <w:p>
      <w:pPr>
        <w:spacing w:after="0" w:line="1" w:lineRule="exact"/>
        <w:rPr>
          <w:sz w:val="20"/>
          <w:szCs w:val="20"/>
          <w:color w:val="auto"/>
        </w:rPr>
      </w:pPr>
    </w:p>
    <w:p>
      <w:pPr>
        <w:ind w:right="180"/>
        <w:spacing w:after="0" w:line="214" w:lineRule="auto"/>
        <w:rPr>
          <w:sz w:val="20"/>
          <w:szCs w:val="20"/>
          <w:color w:val="auto"/>
        </w:rPr>
      </w:pPr>
      <w:r>
        <w:rPr>
          <w:rFonts w:ascii="Times New Roman" w:cs="Times New Roman" w:eastAsia="Times New Roman" w:hAnsi="Times New Roman"/>
          <w:sz w:val="18"/>
          <w:szCs w:val="18"/>
          <w:color w:val="auto"/>
        </w:rPr>
        <w:t>aerospace, and gas turbines markets. Adjusted EBITDA</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grew 29% year over year to $653 million and Adjusted EBITDA Margin* increased approximately 330 basis points to 30.1%, both records. Adjusted Earnings per Share</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grew 42% to a record $1.05. Free Cash Flow for full year 2025 was $1.43 billion and 93% conversion of Net Income</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after record capital expenditures of $453 million as Howmet continued to invest for growth.”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93345</wp:posOffset>
            </wp:positionV>
            <wp:extent cx="178308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Excluding special items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 w:name="page7"/>
    <w:bookmarkEnd w:id="6"/>
    <w:p>
      <w:pPr>
        <w:ind w:right="40"/>
        <w:spacing w:after="0" w:line="277" w:lineRule="auto"/>
        <w:rPr>
          <w:sz w:val="20"/>
          <w:szCs w:val="20"/>
          <w:color w:val="auto"/>
        </w:rPr>
      </w:pPr>
      <w:r>
        <w:rPr>
          <w:rFonts w:ascii="Times New Roman" w:cs="Times New Roman" w:eastAsia="Times New Roman" w:hAnsi="Times New Roman"/>
          <w:sz w:val="17"/>
          <w:szCs w:val="17"/>
          <w:color w:val="auto"/>
        </w:rPr>
        <w:t>Mr. Plant continued, “Healthy cash generation supported significant capital deployment in the fourth quarter with $200 million in share repurchases, $55 million for preferred share redemption, and $125 million for debt reduction. In full year 2025, Howmet repurchased a record $700 million of common stock and paid approximately $181 million in dividends. Also in the quarter, Howmet entered into a definitive agreement to acquire CAM for approximately $1.8 billion, expected to close in the first half 2026. The CAM and Brunner acquisitions will further strengthen Howmet’s fastener portfolio. An additional $150 million of Howmet stock has been repurchased so far in 2026 reflecting continued confidence in Howmet’s cash performance.”</w:t>
      </w:r>
    </w:p>
    <w:p>
      <w:pPr>
        <w:spacing w:after="0" w:line="168"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“Turning to 2026, the vast majority of the markets we serve are in a growth phase, while the commercial transportation market shows signs of stabilizing. Commercial aerospace continues to benefit from rising passenger demand and recent multi-year under-build of aircraft that together have led to a record OEM backlog stretching into the next decade. In addition to robust growth in new builds, engine spares needs continue to increase. Defense markets are also very healthy, while engine spares continue to grow to support the expanding aircraft fleet. The gas turbines business is entering its largest growth phase in years, with extremely high demand for electricity generation, especially from natural gas for data centers. In commercial transportation, we anticipate that the first quarter 2026 will be the quarterly low point and then we will begin to see healthy demand in the second half of 2026. Howmet is well positioned for growth in 2026 and beyond.”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Fourth Quarter and Full Year 2025 Segment Performance</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9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Engine Products</w:t>
            </w:r>
          </w:p>
        </w:tc>
        <w:tc>
          <w:tcPr>
            <w:tcW w:w="200" w:type="dxa"/>
            <w:vAlign w:val="bottom"/>
          </w:tcPr>
          <w:p>
            <w:pPr>
              <w:spacing w:after="0"/>
              <w:rPr>
                <w:sz w:val="20"/>
                <w:szCs w:val="20"/>
                <w:color w:val="auto"/>
              </w:rPr>
            </w:pPr>
          </w:p>
        </w:tc>
        <w:tc>
          <w:tcPr>
            <w:tcW w:w="128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Q4 2024</w:t>
            </w:r>
          </w:p>
        </w:tc>
        <w:tc>
          <w:tcPr>
            <w:tcW w:w="200" w:type="dxa"/>
            <w:vAlign w:val="bottom"/>
          </w:tcPr>
          <w:p>
            <w:pPr>
              <w:spacing w:after="0"/>
              <w:rPr>
                <w:sz w:val="20"/>
                <w:szCs w:val="20"/>
                <w:color w:val="auto"/>
              </w:rPr>
            </w:pPr>
          </w:p>
        </w:tc>
        <w:tc>
          <w:tcPr>
            <w:tcW w:w="130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FY 2024</w:t>
            </w:r>
          </w:p>
        </w:tc>
        <w:tc>
          <w:tcPr>
            <w:tcW w:w="180" w:type="dxa"/>
            <w:vAlign w:val="bottom"/>
          </w:tcPr>
          <w:p>
            <w:pPr>
              <w:spacing w:after="0"/>
              <w:rPr>
                <w:sz w:val="20"/>
                <w:szCs w:val="20"/>
                <w:color w:val="auto"/>
              </w:rPr>
            </w:pPr>
          </w:p>
        </w:tc>
        <w:tc>
          <w:tcPr>
            <w:tcW w:w="130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Q3 2025</w:t>
            </w:r>
          </w:p>
        </w:tc>
        <w:tc>
          <w:tcPr>
            <w:tcW w:w="180" w:type="dxa"/>
            <w:vAlign w:val="bottom"/>
          </w:tcPr>
          <w:p>
            <w:pPr>
              <w:spacing w:after="0"/>
              <w:rPr>
                <w:sz w:val="20"/>
                <w:szCs w:val="20"/>
                <w:color w:val="auto"/>
              </w:rPr>
            </w:pPr>
          </w:p>
        </w:tc>
        <w:tc>
          <w:tcPr>
            <w:tcW w:w="130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Q4 2025</w:t>
            </w:r>
          </w:p>
        </w:tc>
        <w:tc>
          <w:tcPr>
            <w:tcW w:w="200" w:type="dxa"/>
            <w:vAlign w:val="bottom"/>
          </w:tcPr>
          <w:p>
            <w:pPr>
              <w:spacing w:after="0"/>
              <w:rPr>
                <w:sz w:val="20"/>
                <w:szCs w:val="20"/>
                <w:color w:val="auto"/>
              </w:rPr>
            </w:pPr>
          </w:p>
        </w:tc>
        <w:tc>
          <w:tcPr>
            <w:tcW w:w="11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FY 2025</w:t>
            </w:r>
          </w:p>
        </w:tc>
      </w:tr>
      <w:tr>
        <w:trPr>
          <w:trHeight w:val="210"/>
        </w:trPr>
        <w:tc>
          <w:tcPr>
            <w:tcW w:w="37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 U.S. dollar amounts)</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r>
      <w:tr>
        <w:trPr>
          <w:trHeight w:val="216"/>
        </w:trPr>
        <w:tc>
          <w:tcPr>
            <w:tcW w:w="3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Third-party sales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972</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3,735</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1,105</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1,163</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4,320</w:t>
            </w:r>
          </w:p>
        </w:tc>
      </w:tr>
      <w:tr>
        <w:trPr>
          <w:trHeight w:val="216"/>
        </w:trPr>
        <w:tc>
          <w:tcPr>
            <w:tcW w:w="3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Inter-segment sales</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7</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w:t>
            </w:r>
          </w:p>
        </w:tc>
      </w:tr>
      <w:tr>
        <w:trPr>
          <w:trHeight w:val="216"/>
        </w:trPr>
        <w:tc>
          <w:tcPr>
            <w:tcW w:w="3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Provision for depreciation and amortization</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39</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139</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38</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39</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146</w:t>
            </w:r>
          </w:p>
        </w:tc>
      </w:tr>
      <w:tr>
        <w:trPr>
          <w:trHeight w:val="216"/>
        </w:trPr>
        <w:tc>
          <w:tcPr>
            <w:tcW w:w="3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Segment Adjusted EBITDA</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302</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1,150</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368</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396</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1,438</w:t>
            </w:r>
          </w:p>
        </w:tc>
      </w:tr>
      <w:tr>
        <w:trPr>
          <w:trHeight w:val="216"/>
        </w:trPr>
        <w:tc>
          <w:tcPr>
            <w:tcW w:w="3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Segment Adjusted EBITDA Margin</w:t>
            </w:r>
          </w:p>
        </w:tc>
        <w:tc>
          <w:tcPr>
            <w:tcW w:w="20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31.1%</w:t>
            </w:r>
          </w:p>
        </w:tc>
        <w:tc>
          <w:tcPr>
            <w:tcW w:w="200" w:type="dxa"/>
            <w:vAlign w:val="bottom"/>
          </w:tcPr>
          <w:p>
            <w:pPr>
              <w:spacing w:after="0"/>
              <w:rPr>
                <w:sz w:val="18"/>
                <w:szCs w:val="18"/>
                <w:color w:val="auto"/>
              </w:rPr>
            </w:pP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30.8%</w:t>
            </w:r>
          </w:p>
        </w:tc>
        <w:tc>
          <w:tcPr>
            <w:tcW w:w="180" w:type="dxa"/>
            <w:vAlign w:val="bottom"/>
          </w:tcPr>
          <w:p>
            <w:pPr>
              <w:spacing w:after="0"/>
              <w:rPr>
                <w:sz w:val="18"/>
                <w:szCs w:val="18"/>
                <w:color w:val="auto"/>
              </w:rPr>
            </w:pP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33.3%</w:t>
            </w:r>
          </w:p>
        </w:tc>
        <w:tc>
          <w:tcPr>
            <w:tcW w:w="180" w:type="dxa"/>
            <w:vAlign w:val="bottom"/>
          </w:tcPr>
          <w:p>
            <w:pPr>
              <w:spacing w:after="0"/>
              <w:rPr>
                <w:sz w:val="18"/>
                <w:szCs w:val="18"/>
                <w:color w:val="auto"/>
              </w:rPr>
            </w:pP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34.0%</w:t>
            </w:r>
          </w:p>
        </w:tc>
        <w:tc>
          <w:tcPr>
            <w:tcW w:w="20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33.3%</w:t>
            </w:r>
          </w:p>
        </w:tc>
      </w:tr>
      <w:tr>
        <w:trPr>
          <w:trHeight w:val="216"/>
        </w:trPr>
        <w:tc>
          <w:tcPr>
            <w:tcW w:w="3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Restructuring and other charges</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88</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88</w:t>
            </w:r>
          </w:p>
        </w:tc>
      </w:tr>
      <w:tr>
        <w:trPr>
          <w:trHeight w:val="257"/>
        </w:trPr>
        <w:tc>
          <w:tcPr>
            <w:tcW w:w="3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Capital expenditures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76</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219</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74</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84</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319</w:t>
            </w:r>
          </w:p>
        </w:tc>
      </w:tr>
    </w:tbl>
    <w:p>
      <w:pPr>
        <w:spacing w:after="0" w:line="198" w:lineRule="exact"/>
        <w:rPr>
          <w:sz w:val="20"/>
          <w:szCs w:val="20"/>
          <w:color w:val="auto"/>
        </w:rPr>
      </w:pPr>
    </w:p>
    <w:p>
      <w:pPr>
        <w:ind w:right="40"/>
        <w:spacing w:after="0" w:line="281" w:lineRule="auto"/>
        <w:rPr>
          <w:sz w:val="20"/>
          <w:szCs w:val="20"/>
          <w:color w:val="auto"/>
        </w:rPr>
      </w:pPr>
      <w:r>
        <w:rPr>
          <w:rFonts w:ascii="Times New Roman" w:cs="Times New Roman" w:eastAsia="Times New Roman" w:hAnsi="Times New Roman"/>
          <w:sz w:val="17"/>
          <w:szCs w:val="17"/>
          <w:color w:val="auto"/>
        </w:rPr>
        <w:t>Engine Products reported fourth quarter 2025 revenue of $1.2 billion, an increase of 20% year over year, due to growth in the commercial aerospace, defense aerospace, and gas turbines markets, including engine spares growth. Segment Adjusted EBITDA was $396 million, up 31% year over year, driven by growth in the commercial aerospace, defense aerospace, and gas turbines markets. The segment absorbed approximately 320 net headcount in the quarter in support of expected revenue increases. Segment Adjusted EBITDA Margin increased approximately 290 basis points year over year to 34.0%.</w:t>
      </w:r>
    </w:p>
    <w:p>
      <w:pPr>
        <w:spacing w:after="0" w:line="164"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Engine Products reported full year 2025 revenue of $4.3 billion, an increase of 16% year over year, due to growth in the commercial aerospace, defense aerospace, and gas turbines markets, including engine spares growth. Segment Adjusted EBITDA was $1.4 billion, up 25% year over year, driven by growth in the commercial aerospace, defense aerospace, and gas turbines markets. The segment absorbed approximately 1,445 net headcount in the year in support of expected revenue increases. Segment Adjusted EBITDA Margin increased approximately 250 basis points year over year to 33.3%.</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38"/>
        </w:trPr>
        <w:tc>
          <w:tcPr>
            <w:tcW w:w="39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Fastening Systems</w:t>
            </w:r>
          </w:p>
        </w:tc>
        <w:tc>
          <w:tcPr>
            <w:tcW w:w="200" w:type="dxa"/>
            <w:vAlign w:val="bottom"/>
          </w:tcPr>
          <w:p>
            <w:pPr>
              <w:spacing w:after="0"/>
              <w:rPr>
                <w:sz w:val="20"/>
                <w:szCs w:val="20"/>
                <w:color w:val="auto"/>
              </w:rPr>
            </w:pPr>
          </w:p>
        </w:tc>
        <w:tc>
          <w:tcPr>
            <w:tcW w:w="128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Q4 2024</w:t>
            </w:r>
          </w:p>
        </w:tc>
        <w:tc>
          <w:tcPr>
            <w:tcW w:w="200" w:type="dxa"/>
            <w:vAlign w:val="bottom"/>
          </w:tcPr>
          <w:p>
            <w:pPr>
              <w:spacing w:after="0"/>
              <w:rPr>
                <w:sz w:val="20"/>
                <w:szCs w:val="20"/>
                <w:color w:val="auto"/>
              </w:rPr>
            </w:pPr>
          </w:p>
        </w:tc>
        <w:tc>
          <w:tcPr>
            <w:tcW w:w="130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FY 2024</w:t>
            </w:r>
          </w:p>
        </w:tc>
        <w:tc>
          <w:tcPr>
            <w:tcW w:w="180" w:type="dxa"/>
            <w:vAlign w:val="bottom"/>
          </w:tcPr>
          <w:p>
            <w:pPr>
              <w:spacing w:after="0"/>
              <w:rPr>
                <w:sz w:val="20"/>
                <w:szCs w:val="20"/>
                <w:color w:val="auto"/>
              </w:rPr>
            </w:pPr>
          </w:p>
        </w:tc>
        <w:tc>
          <w:tcPr>
            <w:tcW w:w="130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Q3 2025</w:t>
            </w:r>
          </w:p>
        </w:tc>
        <w:tc>
          <w:tcPr>
            <w:tcW w:w="180" w:type="dxa"/>
            <w:vAlign w:val="bottom"/>
          </w:tcPr>
          <w:p>
            <w:pPr>
              <w:spacing w:after="0"/>
              <w:rPr>
                <w:sz w:val="20"/>
                <w:szCs w:val="20"/>
                <w:color w:val="auto"/>
              </w:rPr>
            </w:pPr>
          </w:p>
        </w:tc>
        <w:tc>
          <w:tcPr>
            <w:tcW w:w="130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Q4 2025</w:t>
            </w:r>
          </w:p>
        </w:tc>
        <w:tc>
          <w:tcPr>
            <w:tcW w:w="200" w:type="dxa"/>
            <w:vAlign w:val="bottom"/>
          </w:tcPr>
          <w:p>
            <w:pPr>
              <w:spacing w:after="0"/>
              <w:rPr>
                <w:sz w:val="20"/>
                <w:szCs w:val="20"/>
                <w:color w:val="auto"/>
              </w:rPr>
            </w:pPr>
          </w:p>
        </w:tc>
        <w:tc>
          <w:tcPr>
            <w:tcW w:w="11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FY 2025</w:t>
            </w:r>
          </w:p>
        </w:tc>
      </w:tr>
      <w:tr>
        <w:trPr>
          <w:trHeight w:val="210"/>
        </w:trPr>
        <w:tc>
          <w:tcPr>
            <w:tcW w:w="37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 U.S. dollar amounts)</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r>
      <w:tr>
        <w:trPr>
          <w:trHeight w:val="216"/>
        </w:trPr>
        <w:tc>
          <w:tcPr>
            <w:tcW w:w="3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Third-party sales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401</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1,576</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448</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454</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1,745</w:t>
            </w:r>
          </w:p>
        </w:tc>
      </w:tr>
      <w:tr>
        <w:trPr>
          <w:trHeight w:val="216"/>
        </w:trPr>
        <w:tc>
          <w:tcPr>
            <w:tcW w:w="3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Inter-segment sales</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3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Provision for depreciation and amortization</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11</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47</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12</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12</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48</w:t>
            </w:r>
          </w:p>
        </w:tc>
      </w:tr>
      <w:tr>
        <w:trPr>
          <w:trHeight w:val="216"/>
        </w:trPr>
        <w:tc>
          <w:tcPr>
            <w:tcW w:w="3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Segment Adjusted EBITDA</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111</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406</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138</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139</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530</w:t>
            </w:r>
          </w:p>
        </w:tc>
      </w:tr>
      <w:tr>
        <w:trPr>
          <w:trHeight w:val="216"/>
        </w:trPr>
        <w:tc>
          <w:tcPr>
            <w:tcW w:w="3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Segment Adjusted EBITDA Margin</w:t>
            </w:r>
          </w:p>
        </w:tc>
        <w:tc>
          <w:tcPr>
            <w:tcW w:w="20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27.7%</w:t>
            </w:r>
          </w:p>
        </w:tc>
        <w:tc>
          <w:tcPr>
            <w:tcW w:w="200" w:type="dxa"/>
            <w:vAlign w:val="bottom"/>
          </w:tcPr>
          <w:p>
            <w:pPr>
              <w:spacing w:after="0"/>
              <w:rPr>
                <w:sz w:val="18"/>
                <w:szCs w:val="18"/>
                <w:color w:val="auto"/>
              </w:rPr>
            </w:pP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25.8%</w:t>
            </w:r>
          </w:p>
        </w:tc>
        <w:tc>
          <w:tcPr>
            <w:tcW w:w="180" w:type="dxa"/>
            <w:vAlign w:val="bottom"/>
          </w:tcPr>
          <w:p>
            <w:pPr>
              <w:spacing w:after="0"/>
              <w:rPr>
                <w:sz w:val="18"/>
                <w:szCs w:val="18"/>
                <w:color w:val="auto"/>
              </w:rPr>
            </w:pP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30.8%</w:t>
            </w:r>
          </w:p>
        </w:tc>
        <w:tc>
          <w:tcPr>
            <w:tcW w:w="180" w:type="dxa"/>
            <w:vAlign w:val="bottom"/>
          </w:tcPr>
          <w:p>
            <w:pPr>
              <w:spacing w:after="0"/>
              <w:rPr>
                <w:sz w:val="18"/>
                <w:szCs w:val="18"/>
                <w:color w:val="auto"/>
              </w:rPr>
            </w:pP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30.6%</w:t>
            </w:r>
          </w:p>
        </w:tc>
        <w:tc>
          <w:tcPr>
            <w:tcW w:w="20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30.4%</w:t>
            </w:r>
          </w:p>
        </w:tc>
      </w:tr>
      <w:tr>
        <w:trPr>
          <w:trHeight w:val="216"/>
        </w:trPr>
        <w:tc>
          <w:tcPr>
            <w:tcW w:w="3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Restructuring and other charges (credits)</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5</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3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Capital expenditures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9</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26</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13</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20</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52</w:t>
            </w:r>
          </w:p>
        </w:tc>
      </w:tr>
    </w:tbl>
    <w:p>
      <w:pPr>
        <w:spacing w:after="0" w:line="198"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Fastening Systems reported fourth quarter 2025 revenue of $454 million, an increase of 13% year over year, due to growth in the commercial aerospace market, partially offset by lower volumes in the commercial transportation market. Segment Adjusted EBITDA was $139 million, up 25% year over year, driven by growth in the commercial aerospace market as well as productivity gains, partially offset by lower volumes in the commercial transportation market. Segment Adjusted EBITDA Margin increased approximately 290 basis points year over year to 30.6%.</w:t>
      </w:r>
    </w:p>
    <w:p>
      <w:pPr>
        <w:spacing w:after="0" w:line="180"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Fastening Systems reported full year 2025 revenue of $1.7 billion, an increase of 11% year over year, due to growth in the commercial aerospace market, partially offset by lower volumes in the commercial transportation market. Segment Adjusted EBITDA was $530 million, up 31% year over year, driven by growth in the commercial aerospace market as well as productivity gains, partially offset by lower volumes in the commercial transportation market. Segment Adjusted EBITDA Margin increased approximately 460 basis points year over year to 30.4%.</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9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Engineered Structures</w:t>
            </w:r>
          </w:p>
        </w:tc>
        <w:tc>
          <w:tcPr>
            <w:tcW w:w="200" w:type="dxa"/>
            <w:vAlign w:val="bottom"/>
          </w:tcPr>
          <w:p>
            <w:pPr>
              <w:spacing w:after="0"/>
              <w:rPr>
                <w:sz w:val="20"/>
                <w:szCs w:val="20"/>
                <w:color w:val="auto"/>
              </w:rPr>
            </w:pPr>
          </w:p>
        </w:tc>
        <w:tc>
          <w:tcPr>
            <w:tcW w:w="128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Q4 2024</w:t>
            </w:r>
          </w:p>
        </w:tc>
        <w:tc>
          <w:tcPr>
            <w:tcW w:w="200" w:type="dxa"/>
            <w:vAlign w:val="bottom"/>
          </w:tcPr>
          <w:p>
            <w:pPr>
              <w:spacing w:after="0"/>
              <w:rPr>
                <w:sz w:val="20"/>
                <w:szCs w:val="20"/>
                <w:color w:val="auto"/>
              </w:rPr>
            </w:pPr>
          </w:p>
        </w:tc>
        <w:tc>
          <w:tcPr>
            <w:tcW w:w="130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FY 2024</w:t>
            </w:r>
          </w:p>
        </w:tc>
        <w:tc>
          <w:tcPr>
            <w:tcW w:w="180" w:type="dxa"/>
            <w:vAlign w:val="bottom"/>
          </w:tcPr>
          <w:p>
            <w:pPr>
              <w:spacing w:after="0"/>
              <w:rPr>
                <w:sz w:val="20"/>
                <w:szCs w:val="20"/>
                <w:color w:val="auto"/>
              </w:rPr>
            </w:pPr>
          </w:p>
        </w:tc>
        <w:tc>
          <w:tcPr>
            <w:tcW w:w="130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Q3 2025</w:t>
            </w:r>
          </w:p>
        </w:tc>
        <w:tc>
          <w:tcPr>
            <w:tcW w:w="180" w:type="dxa"/>
            <w:vAlign w:val="bottom"/>
          </w:tcPr>
          <w:p>
            <w:pPr>
              <w:spacing w:after="0"/>
              <w:rPr>
                <w:sz w:val="20"/>
                <w:szCs w:val="20"/>
                <w:color w:val="auto"/>
              </w:rPr>
            </w:pPr>
          </w:p>
        </w:tc>
        <w:tc>
          <w:tcPr>
            <w:tcW w:w="130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Q4 2025</w:t>
            </w:r>
          </w:p>
        </w:tc>
        <w:tc>
          <w:tcPr>
            <w:tcW w:w="200" w:type="dxa"/>
            <w:vAlign w:val="bottom"/>
          </w:tcPr>
          <w:p>
            <w:pPr>
              <w:spacing w:after="0"/>
              <w:rPr>
                <w:sz w:val="20"/>
                <w:szCs w:val="20"/>
                <w:color w:val="auto"/>
              </w:rPr>
            </w:pPr>
          </w:p>
        </w:tc>
        <w:tc>
          <w:tcPr>
            <w:tcW w:w="11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FY 2025</w:t>
            </w:r>
          </w:p>
        </w:tc>
      </w:tr>
      <w:tr>
        <w:trPr>
          <w:trHeight w:val="209"/>
        </w:trPr>
        <w:tc>
          <w:tcPr>
            <w:tcW w:w="37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 U.S. dollar amounts)</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r>
      <w:tr>
        <w:trPr>
          <w:trHeight w:val="216"/>
        </w:trPr>
        <w:tc>
          <w:tcPr>
            <w:tcW w:w="3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Third-party sales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275</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1,065</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289</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287</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1,148</w:t>
            </w:r>
          </w:p>
        </w:tc>
      </w:tr>
      <w:tr>
        <w:trPr>
          <w:trHeight w:val="216"/>
        </w:trPr>
        <w:tc>
          <w:tcPr>
            <w:tcW w:w="3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Inter-segment sales</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10</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w:t>
            </w:r>
          </w:p>
        </w:tc>
      </w:tr>
      <w:tr>
        <w:trPr>
          <w:trHeight w:val="216"/>
        </w:trPr>
        <w:tc>
          <w:tcPr>
            <w:tcW w:w="3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Provision for depreciation and amortization</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10</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42</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9</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10</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41</w:t>
            </w:r>
          </w:p>
        </w:tc>
      </w:tr>
      <w:tr>
        <w:trPr>
          <w:trHeight w:val="216"/>
        </w:trPr>
        <w:tc>
          <w:tcPr>
            <w:tcW w:w="3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Segment Adjusted EBITDA</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51</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166</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58</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63</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243</w:t>
            </w:r>
          </w:p>
        </w:tc>
      </w:tr>
      <w:tr>
        <w:trPr>
          <w:trHeight w:val="216"/>
        </w:trPr>
        <w:tc>
          <w:tcPr>
            <w:tcW w:w="3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Segment Adjusted EBITDA Margin</w:t>
            </w:r>
          </w:p>
        </w:tc>
        <w:tc>
          <w:tcPr>
            <w:tcW w:w="20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18.5%</w:t>
            </w:r>
          </w:p>
        </w:tc>
        <w:tc>
          <w:tcPr>
            <w:tcW w:w="200" w:type="dxa"/>
            <w:vAlign w:val="bottom"/>
          </w:tcPr>
          <w:p>
            <w:pPr>
              <w:spacing w:after="0"/>
              <w:rPr>
                <w:sz w:val="18"/>
                <w:szCs w:val="18"/>
                <w:color w:val="auto"/>
              </w:rPr>
            </w:pP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15.6%</w:t>
            </w:r>
          </w:p>
        </w:tc>
        <w:tc>
          <w:tcPr>
            <w:tcW w:w="180" w:type="dxa"/>
            <w:vAlign w:val="bottom"/>
          </w:tcPr>
          <w:p>
            <w:pPr>
              <w:spacing w:after="0"/>
              <w:rPr>
                <w:sz w:val="18"/>
                <w:szCs w:val="18"/>
                <w:color w:val="auto"/>
              </w:rPr>
            </w:pP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20.1%</w:t>
            </w:r>
          </w:p>
        </w:tc>
        <w:tc>
          <w:tcPr>
            <w:tcW w:w="180" w:type="dxa"/>
            <w:vAlign w:val="bottom"/>
          </w:tcPr>
          <w:p>
            <w:pPr>
              <w:spacing w:after="0"/>
              <w:rPr>
                <w:sz w:val="18"/>
                <w:szCs w:val="18"/>
                <w:color w:val="auto"/>
              </w:rPr>
            </w:pP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22.0%</w:t>
            </w:r>
          </w:p>
        </w:tc>
        <w:tc>
          <w:tcPr>
            <w:tcW w:w="20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21.2%</w:t>
            </w:r>
          </w:p>
        </w:tc>
      </w:tr>
      <w:tr>
        <w:trPr>
          <w:trHeight w:val="216"/>
        </w:trPr>
        <w:tc>
          <w:tcPr>
            <w:tcW w:w="3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Restructuring and other (credits) charges</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12</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w:t>
            </w:r>
          </w:p>
        </w:tc>
      </w:tr>
      <w:tr>
        <w:trPr>
          <w:trHeight w:val="257"/>
        </w:trPr>
        <w:tc>
          <w:tcPr>
            <w:tcW w:w="3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Capital expenditures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20</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9</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13</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33</w:t>
            </w:r>
          </w:p>
        </w:tc>
      </w:tr>
    </w:tbl>
    <w:p>
      <w:pPr>
        <w:spacing w:after="0" w:line="198" w:lineRule="exact"/>
        <w:rPr>
          <w:sz w:val="20"/>
          <w:szCs w:val="20"/>
          <w:color w:val="auto"/>
        </w:rPr>
      </w:pPr>
    </w:p>
    <w:p>
      <w:pPr>
        <w:ind w:right="480"/>
        <w:spacing w:after="0" w:line="266" w:lineRule="auto"/>
        <w:rPr>
          <w:sz w:val="20"/>
          <w:szCs w:val="20"/>
          <w:color w:val="auto"/>
        </w:rPr>
      </w:pPr>
      <w:r>
        <w:rPr>
          <w:rFonts w:ascii="Times New Roman" w:cs="Times New Roman" w:eastAsia="Times New Roman" w:hAnsi="Times New Roman"/>
          <w:sz w:val="18"/>
          <w:szCs w:val="18"/>
          <w:color w:val="auto"/>
        </w:rPr>
        <w:t>Engineered Structures reported fourth quarter 2025 revenue of $287 million, an increase of 4% year over year due to growth in the defense aerospace market. Segment Adjusted EBITDA was $63 million, up 24% year over year, driven by growth in the defense aerospace market. Segment Adjusted EBITDA Margin increased approximately 350 basis points year over year to 22.0%.</w:t>
      </w:r>
    </w:p>
    <w:p>
      <w:pPr>
        <w:spacing w:after="0" w:line="176"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Engineered Structures reported full year 2025 revenue of $1.1 billion, an increase of 8% year over year due to growth in the defense aerospace market. Segment Adjusted EBITDA was $243 million, up 46% year over year, driven by growth in the defense aerospace market and productivity gains. Segment Adjusted EBITDA Margin increased approximately 560 basis points year over year to 21.2%.</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14" w:right="3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38"/>
        </w:trPr>
        <w:tc>
          <w:tcPr>
            <w:tcW w:w="39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Forged Wheels</w:t>
            </w:r>
          </w:p>
        </w:tc>
        <w:tc>
          <w:tcPr>
            <w:tcW w:w="200" w:type="dxa"/>
            <w:vAlign w:val="bottom"/>
          </w:tcPr>
          <w:p>
            <w:pPr>
              <w:spacing w:after="0"/>
              <w:rPr>
                <w:sz w:val="20"/>
                <w:szCs w:val="20"/>
                <w:color w:val="auto"/>
              </w:rPr>
            </w:pPr>
          </w:p>
        </w:tc>
        <w:tc>
          <w:tcPr>
            <w:tcW w:w="128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Q4 2024</w:t>
            </w:r>
          </w:p>
        </w:tc>
        <w:tc>
          <w:tcPr>
            <w:tcW w:w="200" w:type="dxa"/>
            <w:vAlign w:val="bottom"/>
          </w:tcPr>
          <w:p>
            <w:pPr>
              <w:spacing w:after="0"/>
              <w:rPr>
                <w:sz w:val="20"/>
                <w:szCs w:val="20"/>
                <w:color w:val="auto"/>
              </w:rPr>
            </w:pPr>
          </w:p>
        </w:tc>
        <w:tc>
          <w:tcPr>
            <w:tcW w:w="130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FY 2024</w:t>
            </w:r>
          </w:p>
        </w:tc>
        <w:tc>
          <w:tcPr>
            <w:tcW w:w="180" w:type="dxa"/>
            <w:vAlign w:val="bottom"/>
          </w:tcPr>
          <w:p>
            <w:pPr>
              <w:spacing w:after="0"/>
              <w:rPr>
                <w:sz w:val="20"/>
                <w:szCs w:val="20"/>
                <w:color w:val="auto"/>
              </w:rPr>
            </w:pPr>
          </w:p>
        </w:tc>
        <w:tc>
          <w:tcPr>
            <w:tcW w:w="130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Q3 2025</w:t>
            </w:r>
          </w:p>
        </w:tc>
        <w:tc>
          <w:tcPr>
            <w:tcW w:w="180" w:type="dxa"/>
            <w:vAlign w:val="bottom"/>
          </w:tcPr>
          <w:p>
            <w:pPr>
              <w:spacing w:after="0"/>
              <w:rPr>
                <w:sz w:val="20"/>
                <w:szCs w:val="20"/>
                <w:color w:val="auto"/>
              </w:rPr>
            </w:pPr>
          </w:p>
        </w:tc>
        <w:tc>
          <w:tcPr>
            <w:tcW w:w="130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Q4 2025</w:t>
            </w:r>
          </w:p>
        </w:tc>
        <w:tc>
          <w:tcPr>
            <w:tcW w:w="200" w:type="dxa"/>
            <w:vAlign w:val="bottom"/>
          </w:tcPr>
          <w:p>
            <w:pPr>
              <w:spacing w:after="0"/>
              <w:rPr>
                <w:sz w:val="20"/>
                <w:szCs w:val="20"/>
                <w:color w:val="auto"/>
              </w:rPr>
            </w:pPr>
          </w:p>
        </w:tc>
        <w:tc>
          <w:tcPr>
            <w:tcW w:w="11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FY 2025</w:t>
            </w:r>
          </w:p>
        </w:tc>
      </w:tr>
      <w:tr>
        <w:trPr>
          <w:trHeight w:val="210"/>
        </w:trPr>
        <w:tc>
          <w:tcPr>
            <w:tcW w:w="37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 U.S. dollar amounts)</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r>
      <w:tr>
        <w:trPr>
          <w:trHeight w:val="216"/>
        </w:trPr>
        <w:tc>
          <w:tcPr>
            <w:tcW w:w="3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Third-party sales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243</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1,054</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247</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264</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1,039</w:t>
            </w:r>
          </w:p>
        </w:tc>
      </w:tr>
      <w:tr>
        <w:trPr>
          <w:trHeight w:val="216"/>
        </w:trPr>
        <w:tc>
          <w:tcPr>
            <w:tcW w:w="3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for depreciation and amortization</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12</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42</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11</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11</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42</w:t>
            </w:r>
          </w:p>
        </w:tc>
      </w:tr>
      <w:tr>
        <w:trPr>
          <w:trHeight w:val="216"/>
        </w:trPr>
        <w:tc>
          <w:tcPr>
            <w:tcW w:w="3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Segment Adjusted EBITDA</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66</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287</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73</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79</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296</w:t>
            </w:r>
          </w:p>
        </w:tc>
      </w:tr>
      <w:tr>
        <w:trPr>
          <w:trHeight w:val="216"/>
        </w:trPr>
        <w:tc>
          <w:tcPr>
            <w:tcW w:w="3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Segment Adjusted EBITDA Margin</w:t>
            </w:r>
          </w:p>
        </w:tc>
        <w:tc>
          <w:tcPr>
            <w:tcW w:w="2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27.2%</w:t>
            </w:r>
          </w:p>
        </w:tc>
        <w:tc>
          <w:tcPr>
            <w:tcW w:w="2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27.2%</w:t>
            </w:r>
          </w:p>
        </w:tc>
        <w:tc>
          <w:tcPr>
            <w:tcW w:w="1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29.6%</w:t>
            </w:r>
          </w:p>
        </w:tc>
        <w:tc>
          <w:tcPr>
            <w:tcW w:w="1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29.9%</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28.5%</w:t>
            </w:r>
          </w:p>
        </w:tc>
      </w:tr>
      <w:tr>
        <w:trPr>
          <w:trHeight w:val="216"/>
        </w:trPr>
        <w:tc>
          <w:tcPr>
            <w:tcW w:w="3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Restructuring and other charges (credits)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r>
      <w:tr>
        <w:trPr>
          <w:trHeight w:val="257"/>
        </w:trPr>
        <w:tc>
          <w:tcPr>
            <w:tcW w:w="3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Capital expenditures</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10</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45</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9</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36</w:t>
            </w:r>
          </w:p>
        </w:tc>
      </w:tr>
    </w:tbl>
    <w:p>
      <w:pPr>
        <w:spacing w:after="0" w:line="198"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Forged Wheels reported fourth quarter 2025 revenue of $264 million, an increase of 9% year over year, with 10% lower volumes in the commercial transportation market more than offset by an increase in aluminum cost pass through. Segment Adjusted EBITDA was $79 million, up 20% year over year, driven by cost reductions in response to lower volumes in the commercial transportation market. Segment Adjusted EBITDA Margin increased approximately 270 basis points year over year to 29.9%.</w:t>
      </w:r>
    </w:p>
    <w:p>
      <w:pPr>
        <w:spacing w:after="0" w:line="180"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Forged Wheels reported full year 2025 revenue of $1.0 billion, down slightly year over year, with 13% lower volumes in the commercial transportation market offset by an increase in aluminum cost pass through. Segment Adjusted EBITDA was $296 million, up 3% year over year, driven by cost reductions in response to lower volumes in the commercial transportation market. Segment Adjusted EBITDA Margin increased approximately 130 basis points year over year to 28.5%.</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Howmet Aerospace to Acquire Consolidated Aerospace Manufacturing, LLC (CAM) for approximately $1.8 billion</w:t>
      </w:r>
    </w:p>
    <w:p>
      <w:pPr>
        <w:spacing w:after="0" w:line="229"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On December 22, 2025, Howmet Aerospace announced that it entered into a definitive agreement to acquire CAM from Stanley Black &amp; Decker, Inc. for an all-cash purchase price of approximately $1.8 billion. CAM is a leading global designer and manufacturer of precision fasteners, fluid fittings, and other complex, highly engineered products for demanding aerospace and defense applications. The transaction is expected to close in the first half of 2026, subject to customary closing conditions and regulatory approvals.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Acquired Fastener Producer Brunner Manufacturing Co. Inc.</w:t>
      </w:r>
    </w:p>
    <w:p>
      <w:pPr>
        <w:spacing w:after="0" w:line="229"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On February 6, 2026, the Company acquired Brunner Manufacturing Co. Inc., a small, privately-held producer of high-quality fastener products based in Mauston, WI in an all-cash transaction. The transaction will enhance Howmet’s product offerings and market opportunities with larger-size fasteners.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Repurchased $200 Million of Common Stock in Fourth Quarter 2025, $700 Million in Full Year 2025; $150 Million YTD in 2026</w:t>
      </w:r>
    </w:p>
    <w:p>
      <w:pPr>
        <w:spacing w:after="0" w:line="229"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In the fourth quarter 2025, Howmet Aerospace repurchased $200 million of common stock at an average price of $194.61 per share, retiring approximately 1.0 million shares.</w:t>
      </w:r>
    </w:p>
    <w:p>
      <w:pPr>
        <w:spacing w:after="0" w:line="162"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In the full year 2025, the Company repurchased $700 million of common stock at an average price of $160.52 per share, retiring approximately 4.4 million shares.</w:t>
      </w:r>
    </w:p>
    <w:p>
      <w:pPr>
        <w:spacing w:after="0" w:line="162" w:lineRule="exact"/>
        <w:rPr>
          <w:sz w:val="20"/>
          <w:szCs w:val="20"/>
          <w:color w:val="auto"/>
        </w:rPr>
      </w:pPr>
    </w:p>
    <w:p>
      <w:pPr>
        <w:ind w:right="1020"/>
        <w:spacing w:after="0" w:line="282" w:lineRule="auto"/>
        <w:rPr>
          <w:sz w:val="20"/>
          <w:szCs w:val="20"/>
          <w:color w:val="auto"/>
        </w:rPr>
      </w:pPr>
      <w:r>
        <w:rPr>
          <w:rFonts w:ascii="Times New Roman" w:cs="Times New Roman" w:eastAsia="Times New Roman" w:hAnsi="Times New Roman"/>
          <w:sz w:val="18"/>
          <w:szCs w:val="18"/>
          <w:color w:val="auto"/>
        </w:rPr>
        <w:t>Year to date in 2026, the Company repurchased an additional $150 million of common stock at an average price of $215.28 per share, retiring approximately 0.7 million shares.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February 12, 2026, total share repurchase authorization available was approximately $1.347 billion.</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14"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color w:val="auto"/>
        </w:rPr>
        <w:t>Paid Quarterly Common Stock Dividend of $0.12 Per Share in Fourth Quarter 2025</w:t>
      </w:r>
    </w:p>
    <w:p>
      <w:pPr>
        <w:spacing w:after="0" w:line="229"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18"/>
          <w:szCs w:val="18"/>
          <w:color w:val="auto"/>
        </w:rPr>
        <w:t>On November 25, 2025, the Company paid a quarterly dividend of $0.12 per share on its common stock to holders of record at the close of business November 7, 2025. The quarterly dividend represents a 50% increase from the fourth quarter 2024 dividend of $0.08 per share.</w:t>
      </w:r>
    </w:p>
    <w:p>
      <w:pPr>
        <w:spacing w:after="0" w:line="162" w:lineRule="exact"/>
        <w:rPr>
          <w:sz w:val="20"/>
          <w:szCs w:val="20"/>
          <w:color w:val="auto"/>
        </w:rPr>
      </w:pPr>
    </w:p>
    <w:p>
      <w:pPr>
        <w:ind w:right="140"/>
        <w:spacing w:after="0" w:line="312" w:lineRule="auto"/>
        <w:rPr>
          <w:sz w:val="20"/>
          <w:szCs w:val="20"/>
          <w:color w:val="auto"/>
        </w:rPr>
      </w:pPr>
      <w:r>
        <w:rPr>
          <w:rFonts w:ascii="Times New Roman" w:cs="Times New Roman" w:eastAsia="Times New Roman" w:hAnsi="Times New Roman"/>
          <w:sz w:val="17"/>
          <w:szCs w:val="17"/>
          <w:color w:val="auto"/>
        </w:rPr>
        <w:t>The Board of Directors declared a dividend of $0.12 per share on the Company’s common stock, to be paid on February 25, 2026, to the holders of record at the close of business on February 6, 2026. This quarterly dividend represents a 20% increase from the first quarter 2025 dividend of $0.10 per share.</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Issued $500 Million of 4.55% Notes due 2032; Redeemed All Outstanding Principal Amount of $625 Million of 5.90% Notes due 2027</w:t>
      </w:r>
    </w:p>
    <w:p>
      <w:pPr>
        <w:spacing w:after="0" w:line="229"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On November 12, 2025, the Company issued $500 million aggregate principal amount of 4.55% Notes due 2032 (the “2032 Notes”). On December 3, 2025, the Company redeemed all of the remaining outstanding principal amount of $625 million of its 5.90% notes due 2027 (the “2027 Notes”). The Company used the net proceeds from the 2032 Notes offering and approximately $125 million in cash on hand to fund the redemption of the 2027 Notes. These actions result in annualized interest expense savings of approximately $14 million.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Debt Actions During 2025 Reduce Annualized Interest Expense by Approximately $22 Million</w:t>
      </w:r>
    </w:p>
    <w:p>
      <w:pPr>
        <w:spacing w:after="0" w:line="229"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The Company took several debt actions in the full year 2025, resulting in debt reduction of approximately $265 million and approximately $22 million in annualized interest expense savings.</w:t>
      </w:r>
    </w:p>
    <w:p>
      <w:pPr>
        <w:spacing w:after="0" w:line="160" w:lineRule="exact"/>
        <w:rPr>
          <w:sz w:val="20"/>
          <w:szCs w:val="20"/>
          <w:color w:val="auto"/>
        </w:rPr>
      </w:pPr>
    </w:p>
    <w:tbl>
      <w:tblPr>
        <w:tblLayout w:type="fixed"/>
        <w:tblInd w:w="10" w:type="dxa"/>
        <w:tblCellMar>
          <w:top w:w="0" w:type="dxa"/>
          <w:left w:w="0" w:type="dxa"/>
          <w:bottom w:w="0" w:type="dxa"/>
          <w:right w:w="0" w:type="dxa"/>
        </w:tblCellMar>
      </w:tblPr>
      <w:tr>
        <w:trPr>
          <w:trHeight w:val="283"/>
        </w:trPr>
        <w:tc>
          <w:tcPr>
            <w:tcW w:w="2280" w:type="dxa"/>
            <w:vAlign w:val="bottom"/>
            <w:tcBorders>
              <w:top w:val="single" w:sz="8" w:color="auto"/>
              <w:left w:val="single" w:sz="8" w:color="auto"/>
              <w:right w:val="single" w:sz="8" w:color="auto"/>
            </w:tcBorders>
          </w:tcPr>
          <w:p>
            <w:pPr>
              <w:ind w:left="880"/>
              <w:spacing w:after="0"/>
              <w:rPr>
                <w:sz w:val="20"/>
                <w:szCs w:val="20"/>
                <w:color w:val="auto"/>
              </w:rPr>
            </w:pPr>
            <w:r>
              <w:rPr>
                <w:rFonts w:ascii="Times New Roman" w:cs="Times New Roman" w:eastAsia="Times New Roman" w:hAnsi="Times New Roman"/>
                <w:sz w:val="18"/>
                <w:szCs w:val="18"/>
                <w:b w:val="1"/>
                <w:bCs w:val="1"/>
                <w:color w:val="auto"/>
              </w:rPr>
              <w:t>Period</w:t>
            </w:r>
          </w:p>
        </w:tc>
        <w:tc>
          <w:tcPr>
            <w:tcW w:w="5840" w:type="dxa"/>
            <w:vAlign w:val="bottom"/>
            <w:tcBorders>
              <w:top w:val="single" w:sz="8" w:color="auto"/>
              <w:right w:val="single" w:sz="8" w:color="auto"/>
            </w:tcBorders>
          </w:tcPr>
          <w:p>
            <w:pPr>
              <w:ind w:left="2360"/>
              <w:spacing w:after="0"/>
              <w:rPr>
                <w:sz w:val="20"/>
                <w:szCs w:val="20"/>
                <w:color w:val="auto"/>
              </w:rPr>
            </w:pPr>
            <w:r>
              <w:rPr>
                <w:rFonts w:ascii="Times New Roman" w:cs="Times New Roman" w:eastAsia="Times New Roman" w:hAnsi="Times New Roman"/>
                <w:sz w:val="18"/>
                <w:szCs w:val="18"/>
                <w:b w:val="1"/>
                <w:bCs w:val="1"/>
                <w:color w:val="auto"/>
              </w:rPr>
              <w:t>Actions Taken</w:t>
            </w:r>
          </w:p>
        </w:tc>
        <w:tc>
          <w:tcPr>
            <w:tcW w:w="3120" w:type="dxa"/>
            <w:vAlign w:val="bottom"/>
            <w:tcBorders>
              <w:top w:val="single" w:sz="8" w:color="auto"/>
              <w:right w:val="single" w:sz="8" w:color="auto"/>
            </w:tcBorders>
          </w:tcPr>
          <w:p>
            <w:pPr>
              <w:ind w:left="460"/>
              <w:spacing w:after="0"/>
              <w:rPr>
                <w:sz w:val="20"/>
                <w:szCs w:val="20"/>
                <w:color w:val="auto"/>
              </w:rPr>
            </w:pPr>
            <w:r>
              <w:rPr>
                <w:rFonts w:ascii="Times New Roman" w:cs="Times New Roman" w:eastAsia="Times New Roman" w:hAnsi="Times New Roman"/>
                <w:sz w:val="18"/>
                <w:szCs w:val="18"/>
                <w:b w:val="1"/>
                <w:bCs w:val="1"/>
                <w:color w:val="auto"/>
              </w:rPr>
              <w:t>Annualized Interest Savings</w:t>
            </w:r>
          </w:p>
        </w:tc>
        <w:tc>
          <w:tcPr>
            <w:tcW w:w="0" w:type="dxa"/>
            <w:vAlign w:val="bottom"/>
          </w:tcPr>
          <w:p>
            <w:pPr>
              <w:spacing w:after="0"/>
              <w:rPr>
                <w:sz w:val="1"/>
                <w:szCs w:val="1"/>
                <w:color w:val="auto"/>
              </w:rPr>
            </w:pPr>
          </w:p>
        </w:tc>
      </w:tr>
      <w:tr>
        <w:trPr>
          <w:trHeight w:val="54"/>
        </w:trPr>
        <w:tc>
          <w:tcPr>
            <w:tcW w:w="2280" w:type="dxa"/>
            <w:vAlign w:val="bottom"/>
            <w:tcBorders>
              <w:left w:val="single" w:sz="8" w:color="auto"/>
              <w:bottom w:val="single" w:sz="8" w:color="auto"/>
              <w:right w:val="single" w:sz="8" w:color="auto"/>
            </w:tcBorders>
          </w:tcPr>
          <w:p>
            <w:pPr>
              <w:spacing w:after="0"/>
              <w:rPr>
                <w:sz w:val="4"/>
                <w:szCs w:val="4"/>
                <w:color w:val="auto"/>
              </w:rPr>
            </w:pPr>
          </w:p>
        </w:tc>
        <w:tc>
          <w:tcPr>
            <w:tcW w:w="5840" w:type="dxa"/>
            <w:vAlign w:val="bottom"/>
            <w:tcBorders>
              <w:bottom w:val="single" w:sz="8" w:color="auto"/>
              <w:right w:val="single" w:sz="8" w:color="auto"/>
            </w:tcBorders>
          </w:tcPr>
          <w:p>
            <w:pPr>
              <w:spacing w:after="0"/>
              <w:rPr>
                <w:sz w:val="4"/>
                <w:szCs w:val="4"/>
                <w:color w:val="auto"/>
              </w:rPr>
            </w:pPr>
          </w:p>
        </w:tc>
        <w:tc>
          <w:tcPr>
            <w:tcW w:w="31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5"/>
        </w:trPr>
        <w:tc>
          <w:tcPr>
            <w:tcW w:w="2280" w:type="dxa"/>
            <w:vAlign w:val="bottom"/>
            <w:tcBorders>
              <w:left w:val="single" w:sz="8" w:color="auto"/>
              <w:right w:val="single" w:sz="8" w:color="auto"/>
            </w:tcBorders>
          </w:tcPr>
          <w:p>
            <w:pPr>
              <w:spacing w:after="0"/>
              <w:rPr>
                <w:sz w:val="21"/>
                <w:szCs w:val="21"/>
                <w:color w:val="auto"/>
              </w:rPr>
            </w:pPr>
          </w:p>
        </w:tc>
        <w:tc>
          <w:tcPr>
            <w:tcW w:w="58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On June 11, 2025 the Company paid down the aggregate principal amount of</w:t>
            </w:r>
          </w:p>
        </w:tc>
        <w:tc>
          <w:tcPr>
            <w:tcW w:w="31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28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Second Quarter 2025</w:t>
            </w:r>
          </w:p>
        </w:tc>
        <w:tc>
          <w:tcPr>
            <w:tcW w:w="58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$75 million plus accrued interest of less than $1 million of its US Dollar-</w:t>
            </w:r>
          </w:p>
        </w:tc>
        <w:tc>
          <w:tcPr>
            <w:tcW w:w="31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Approximately $4 Million</w:t>
            </w:r>
          </w:p>
        </w:tc>
        <w:tc>
          <w:tcPr>
            <w:tcW w:w="0" w:type="dxa"/>
            <w:vAlign w:val="bottom"/>
          </w:tcPr>
          <w:p>
            <w:pPr>
              <w:spacing w:after="0"/>
              <w:rPr>
                <w:sz w:val="1"/>
                <w:szCs w:val="1"/>
                <w:color w:val="auto"/>
              </w:rPr>
            </w:pPr>
          </w:p>
        </w:tc>
      </w:tr>
      <w:tr>
        <w:trPr>
          <w:trHeight w:val="234"/>
        </w:trPr>
        <w:tc>
          <w:tcPr>
            <w:tcW w:w="2280" w:type="dxa"/>
            <w:vAlign w:val="bottom"/>
            <w:tcBorders>
              <w:left w:val="single" w:sz="8" w:color="auto"/>
              <w:right w:val="single" w:sz="8" w:color="auto"/>
            </w:tcBorders>
          </w:tcPr>
          <w:p>
            <w:pPr>
              <w:spacing w:after="0"/>
              <w:rPr>
                <w:sz w:val="20"/>
                <w:szCs w:val="20"/>
                <w:color w:val="auto"/>
              </w:rPr>
            </w:pPr>
          </w:p>
        </w:tc>
        <w:tc>
          <w:tcPr>
            <w:tcW w:w="58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Denominated Term Loan</w:t>
            </w:r>
          </w:p>
        </w:tc>
        <w:tc>
          <w:tcPr>
            <w:tcW w:w="3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2280" w:type="dxa"/>
            <w:vAlign w:val="bottom"/>
            <w:tcBorders>
              <w:left w:val="single" w:sz="8" w:color="auto"/>
              <w:bottom w:val="single" w:sz="8" w:color="auto"/>
              <w:right w:val="single" w:sz="8" w:color="auto"/>
            </w:tcBorders>
          </w:tcPr>
          <w:p>
            <w:pPr>
              <w:spacing w:after="0"/>
              <w:rPr>
                <w:sz w:val="4"/>
                <w:szCs w:val="4"/>
                <w:color w:val="auto"/>
              </w:rPr>
            </w:pPr>
          </w:p>
        </w:tc>
        <w:tc>
          <w:tcPr>
            <w:tcW w:w="5840" w:type="dxa"/>
            <w:vAlign w:val="bottom"/>
            <w:tcBorders>
              <w:bottom w:val="single" w:sz="8" w:color="auto"/>
              <w:right w:val="single" w:sz="8" w:color="auto"/>
            </w:tcBorders>
          </w:tcPr>
          <w:p>
            <w:pPr>
              <w:spacing w:after="0"/>
              <w:rPr>
                <w:sz w:val="4"/>
                <w:szCs w:val="4"/>
                <w:color w:val="auto"/>
              </w:rPr>
            </w:pPr>
          </w:p>
        </w:tc>
        <w:tc>
          <w:tcPr>
            <w:tcW w:w="31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5"/>
        </w:trPr>
        <w:tc>
          <w:tcPr>
            <w:tcW w:w="2280" w:type="dxa"/>
            <w:vAlign w:val="bottom"/>
            <w:tcBorders>
              <w:left w:val="single" w:sz="8" w:color="auto"/>
              <w:right w:val="single" w:sz="8" w:color="auto"/>
            </w:tcBorders>
            <w:vMerge w:val="restart"/>
          </w:tcPr>
          <w:p>
            <w:pPr>
              <w:ind w:left="120"/>
              <w:spacing w:after="0"/>
              <w:rPr>
                <w:sz w:val="20"/>
                <w:szCs w:val="20"/>
                <w:color w:val="auto"/>
              </w:rPr>
            </w:pPr>
            <w:r>
              <w:rPr>
                <w:rFonts w:ascii="Times New Roman" w:cs="Times New Roman" w:eastAsia="Times New Roman" w:hAnsi="Times New Roman"/>
                <w:sz w:val="18"/>
                <w:szCs w:val="18"/>
                <w:color w:val="auto"/>
              </w:rPr>
              <w:t>Third Quarter 2025</w:t>
            </w:r>
          </w:p>
        </w:tc>
        <w:tc>
          <w:tcPr>
            <w:tcW w:w="58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On September 18, 2025 the Company paid down the remaining $63 million</w:t>
            </w:r>
          </w:p>
        </w:tc>
        <w:tc>
          <w:tcPr>
            <w:tcW w:w="312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8"/>
                <w:szCs w:val="18"/>
                <w:color w:val="auto"/>
              </w:rPr>
              <w:t>Approximately $4 Million</w:t>
            </w:r>
          </w:p>
        </w:tc>
        <w:tc>
          <w:tcPr>
            <w:tcW w:w="0" w:type="dxa"/>
            <w:vAlign w:val="bottom"/>
          </w:tcPr>
          <w:p>
            <w:pPr>
              <w:spacing w:after="0"/>
              <w:rPr>
                <w:sz w:val="1"/>
                <w:szCs w:val="1"/>
                <w:color w:val="auto"/>
              </w:rPr>
            </w:pPr>
          </w:p>
        </w:tc>
      </w:tr>
      <w:tr>
        <w:trPr>
          <w:trHeight w:val="126"/>
        </w:trPr>
        <w:tc>
          <w:tcPr>
            <w:tcW w:w="2280" w:type="dxa"/>
            <w:vAlign w:val="bottom"/>
            <w:tcBorders>
              <w:left w:val="single" w:sz="8" w:color="auto"/>
              <w:right w:val="single" w:sz="8" w:color="auto"/>
            </w:tcBorders>
            <w:vMerge w:val="continue"/>
          </w:tcPr>
          <w:p>
            <w:pPr>
              <w:spacing w:after="0"/>
              <w:rPr>
                <w:sz w:val="10"/>
                <w:szCs w:val="10"/>
                <w:color w:val="auto"/>
              </w:rPr>
            </w:pPr>
          </w:p>
        </w:tc>
        <w:tc>
          <w:tcPr>
            <w:tcW w:w="58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8"/>
                <w:szCs w:val="18"/>
                <w:color w:val="auto"/>
              </w:rPr>
              <w:t>of its US Dollar-Denominated Term Loan.</w:t>
            </w:r>
          </w:p>
        </w:tc>
        <w:tc>
          <w:tcPr>
            <w:tcW w:w="312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280" w:type="dxa"/>
            <w:vAlign w:val="bottom"/>
            <w:tcBorders>
              <w:left w:val="single" w:sz="8" w:color="auto"/>
              <w:right w:val="single" w:sz="8" w:color="auto"/>
            </w:tcBorders>
          </w:tcPr>
          <w:p>
            <w:pPr>
              <w:spacing w:after="0"/>
              <w:rPr>
                <w:sz w:val="9"/>
                <w:szCs w:val="9"/>
                <w:color w:val="auto"/>
              </w:rPr>
            </w:pPr>
          </w:p>
        </w:tc>
        <w:tc>
          <w:tcPr>
            <w:tcW w:w="5840" w:type="dxa"/>
            <w:vAlign w:val="bottom"/>
            <w:tcBorders>
              <w:right w:val="single" w:sz="8" w:color="auto"/>
            </w:tcBorders>
            <w:vMerge w:val="continue"/>
          </w:tcPr>
          <w:p>
            <w:pPr>
              <w:spacing w:after="0"/>
              <w:rPr>
                <w:sz w:val="9"/>
                <w:szCs w:val="9"/>
                <w:color w:val="auto"/>
              </w:rPr>
            </w:pPr>
          </w:p>
        </w:tc>
        <w:tc>
          <w:tcPr>
            <w:tcW w:w="312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280" w:type="dxa"/>
            <w:vAlign w:val="bottom"/>
            <w:tcBorders>
              <w:left w:val="single" w:sz="8" w:color="auto"/>
              <w:bottom w:val="single" w:sz="8" w:color="auto"/>
              <w:right w:val="single" w:sz="8" w:color="auto"/>
            </w:tcBorders>
          </w:tcPr>
          <w:p>
            <w:pPr>
              <w:spacing w:after="0"/>
              <w:rPr>
                <w:sz w:val="4"/>
                <w:szCs w:val="4"/>
                <w:color w:val="auto"/>
              </w:rPr>
            </w:pPr>
          </w:p>
        </w:tc>
        <w:tc>
          <w:tcPr>
            <w:tcW w:w="5840" w:type="dxa"/>
            <w:vAlign w:val="bottom"/>
            <w:tcBorders>
              <w:bottom w:val="single" w:sz="8" w:color="auto"/>
              <w:right w:val="single" w:sz="8" w:color="auto"/>
            </w:tcBorders>
          </w:tcPr>
          <w:p>
            <w:pPr>
              <w:spacing w:after="0"/>
              <w:rPr>
                <w:sz w:val="4"/>
                <w:szCs w:val="4"/>
                <w:color w:val="auto"/>
              </w:rPr>
            </w:pPr>
          </w:p>
        </w:tc>
        <w:tc>
          <w:tcPr>
            <w:tcW w:w="31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5"/>
        </w:trPr>
        <w:tc>
          <w:tcPr>
            <w:tcW w:w="2280" w:type="dxa"/>
            <w:vAlign w:val="bottom"/>
            <w:tcBorders>
              <w:left w:val="single" w:sz="8" w:color="auto"/>
              <w:right w:val="single" w:sz="8" w:color="auto"/>
            </w:tcBorders>
          </w:tcPr>
          <w:p>
            <w:pPr>
              <w:spacing w:after="0"/>
              <w:rPr>
                <w:sz w:val="21"/>
                <w:szCs w:val="21"/>
                <w:color w:val="auto"/>
              </w:rPr>
            </w:pPr>
          </w:p>
        </w:tc>
        <w:tc>
          <w:tcPr>
            <w:tcW w:w="58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On November 12, 2025 the Company issued $500 million aggregate principal</w:t>
            </w:r>
          </w:p>
        </w:tc>
        <w:tc>
          <w:tcPr>
            <w:tcW w:w="31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280" w:type="dxa"/>
            <w:vAlign w:val="bottom"/>
            <w:tcBorders>
              <w:left w:val="single" w:sz="8" w:color="auto"/>
              <w:right w:val="single" w:sz="8" w:color="auto"/>
            </w:tcBorders>
          </w:tcPr>
          <w:p>
            <w:pPr>
              <w:spacing w:after="0"/>
              <w:rPr>
                <w:sz w:val="18"/>
                <w:szCs w:val="18"/>
                <w:color w:val="auto"/>
              </w:rPr>
            </w:pPr>
          </w:p>
        </w:tc>
        <w:tc>
          <w:tcPr>
            <w:tcW w:w="58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amount of 4.55% Notes due 2032 (the “2032 Notes”); On December 3, 2025</w:t>
            </w:r>
          </w:p>
        </w:tc>
        <w:tc>
          <w:tcPr>
            <w:tcW w:w="3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8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Fourth Quarter 2025</w:t>
            </w:r>
          </w:p>
        </w:tc>
        <w:tc>
          <w:tcPr>
            <w:tcW w:w="58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the Company used the net proceeds from the 2032 Notes and approximately</w:t>
            </w:r>
          </w:p>
        </w:tc>
        <w:tc>
          <w:tcPr>
            <w:tcW w:w="31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Approximately $14 Million</w:t>
            </w:r>
          </w:p>
        </w:tc>
        <w:tc>
          <w:tcPr>
            <w:tcW w:w="0" w:type="dxa"/>
            <w:vAlign w:val="bottom"/>
          </w:tcPr>
          <w:p>
            <w:pPr>
              <w:spacing w:after="0"/>
              <w:rPr>
                <w:sz w:val="1"/>
                <w:szCs w:val="1"/>
                <w:color w:val="auto"/>
              </w:rPr>
            </w:pPr>
          </w:p>
        </w:tc>
      </w:tr>
      <w:tr>
        <w:trPr>
          <w:trHeight w:val="216"/>
        </w:trPr>
        <w:tc>
          <w:tcPr>
            <w:tcW w:w="2280" w:type="dxa"/>
            <w:vAlign w:val="bottom"/>
            <w:tcBorders>
              <w:left w:val="single" w:sz="8" w:color="auto"/>
              <w:right w:val="single" w:sz="8" w:color="auto"/>
            </w:tcBorders>
          </w:tcPr>
          <w:p>
            <w:pPr>
              <w:spacing w:after="0"/>
              <w:rPr>
                <w:sz w:val="18"/>
                <w:szCs w:val="18"/>
                <w:color w:val="auto"/>
              </w:rPr>
            </w:pPr>
          </w:p>
        </w:tc>
        <w:tc>
          <w:tcPr>
            <w:tcW w:w="58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$125 million of cash on hand to redeem all remaining outstanding principal</w:t>
            </w:r>
          </w:p>
        </w:tc>
        <w:tc>
          <w:tcPr>
            <w:tcW w:w="3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280" w:type="dxa"/>
            <w:vAlign w:val="bottom"/>
            <w:tcBorders>
              <w:left w:val="single" w:sz="8" w:color="auto"/>
              <w:right w:val="single" w:sz="8" w:color="auto"/>
            </w:tcBorders>
          </w:tcPr>
          <w:p>
            <w:pPr>
              <w:spacing w:after="0"/>
              <w:rPr>
                <w:sz w:val="20"/>
                <w:szCs w:val="20"/>
                <w:color w:val="auto"/>
              </w:rPr>
            </w:pPr>
          </w:p>
        </w:tc>
        <w:tc>
          <w:tcPr>
            <w:tcW w:w="58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amount of $625 million of its 5.90% Notes due 2027</w:t>
            </w:r>
          </w:p>
        </w:tc>
        <w:tc>
          <w:tcPr>
            <w:tcW w:w="3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2280" w:type="dxa"/>
            <w:vAlign w:val="bottom"/>
            <w:tcBorders>
              <w:left w:val="single" w:sz="8" w:color="auto"/>
              <w:bottom w:val="single" w:sz="8" w:color="auto"/>
              <w:right w:val="single" w:sz="8" w:color="auto"/>
            </w:tcBorders>
          </w:tcPr>
          <w:p>
            <w:pPr>
              <w:spacing w:after="0"/>
              <w:rPr>
                <w:sz w:val="4"/>
                <w:szCs w:val="4"/>
                <w:color w:val="auto"/>
              </w:rPr>
            </w:pPr>
          </w:p>
        </w:tc>
        <w:tc>
          <w:tcPr>
            <w:tcW w:w="5840" w:type="dxa"/>
            <w:vAlign w:val="bottom"/>
            <w:tcBorders>
              <w:bottom w:val="single" w:sz="8" w:color="auto"/>
              <w:right w:val="single" w:sz="8" w:color="auto"/>
            </w:tcBorders>
          </w:tcPr>
          <w:p>
            <w:pPr>
              <w:spacing w:after="0"/>
              <w:rPr>
                <w:sz w:val="4"/>
                <w:szCs w:val="4"/>
                <w:color w:val="auto"/>
              </w:rPr>
            </w:pPr>
          </w:p>
        </w:tc>
        <w:tc>
          <w:tcPr>
            <w:tcW w:w="31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2280" w:type="dxa"/>
            <w:vAlign w:val="bottom"/>
            <w:tcBorders>
              <w:left w:val="single" w:sz="8" w:color="auto"/>
            </w:tcBorders>
          </w:tcPr>
          <w:p>
            <w:pPr>
              <w:spacing w:after="0"/>
              <w:rPr>
                <w:sz w:val="22"/>
                <w:szCs w:val="22"/>
                <w:color w:val="auto"/>
              </w:rPr>
            </w:pPr>
          </w:p>
        </w:tc>
        <w:tc>
          <w:tcPr>
            <w:tcW w:w="5840" w:type="dxa"/>
            <w:vAlign w:val="bottom"/>
            <w:tcBorders>
              <w:right w:val="single" w:sz="8" w:color="auto"/>
            </w:tcBorders>
          </w:tcPr>
          <w:p>
            <w:pPr>
              <w:ind w:left="480"/>
              <w:spacing w:after="0"/>
              <w:rPr>
                <w:sz w:val="20"/>
                <w:szCs w:val="20"/>
                <w:color w:val="auto"/>
              </w:rPr>
            </w:pPr>
            <w:r>
              <w:rPr>
                <w:rFonts w:ascii="Times New Roman" w:cs="Times New Roman" w:eastAsia="Times New Roman" w:hAnsi="Times New Roman"/>
                <w:sz w:val="18"/>
                <w:szCs w:val="18"/>
                <w:b w:val="1"/>
                <w:bCs w:val="1"/>
                <w:color w:val="auto"/>
              </w:rPr>
              <w:t>Total Annualized Interest Savings</w:t>
            </w:r>
          </w:p>
        </w:tc>
        <w:tc>
          <w:tcPr>
            <w:tcW w:w="31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Approximately $22 Million</w:t>
            </w:r>
          </w:p>
        </w:tc>
        <w:tc>
          <w:tcPr>
            <w:tcW w:w="0" w:type="dxa"/>
            <w:vAlign w:val="bottom"/>
          </w:tcPr>
          <w:p>
            <w:pPr>
              <w:spacing w:after="0"/>
              <w:rPr>
                <w:sz w:val="1"/>
                <w:szCs w:val="1"/>
                <w:color w:val="auto"/>
              </w:rPr>
            </w:pPr>
          </w:p>
        </w:tc>
      </w:tr>
      <w:tr>
        <w:trPr>
          <w:trHeight w:val="54"/>
        </w:trPr>
        <w:tc>
          <w:tcPr>
            <w:tcW w:w="2280" w:type="dxa"/>
            <w:vAlign w:val="bottom"/>
            <w:tcBorders>
              <w:left w:val="single" w:sz="8" w:color="auto"/>
              <w:bottom w:val="single" w:sz="8" w:color="auto"/>
            </w:tcBorders>
          </w:tcPr>
          <w:p>
            <w:pPr>
              <w:spacing w:after="0"/>
              <w:rPr>
                <w:sz w:val="4"/>
                <w:szCs w:val="4"/>
                <w:color w:val="auto"/>
              </w:rPr>
            </w:pPr>
          </w:p>
        </w:tc>
        <w:tc>
          <w:tcPr>
            <w:tcW w:w="5840" w:type="dxa"/>
            <w:vAlign w:val="bottom"/>
            <w:tcBorders>
              <w:bottom w:val="single" w:sz="8" w:color="auto"/>
              <w:right w:val="single" w:sz="8" w:color="auto"/>
            </w:tcBorders>
          </w:tcPr>
          <w:p>
            <w:pPr>
              <w:spacing w:after="0"/>
              <w:rPr>
                <w:sz w:val="4"/>
                <w:szCs w:val="4"/>
                <w:color w:val="auto"/>
              </w:rPr>
            </w:pPr>
          </w:p>
        </w:tc>
        <w:tc>
          <w:tcPr>
            <w:tcW w:w="31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Redeemed All Outstanding Preferred Stock in Fourth Quarter 2025 for Approximately $55 Million</w:t>
      </w:r>
    </w:p>
    <w:p>
      <w:pPr>
        <w:spacing w:after="0" w:line="229"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On December 17, 2025, the Company redeemed all of the outstanding shares of $3.75 Cumulative Preferred Stock of the Company for approximately $55 million.</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color w:val="auto"/>
        </w:rPr>
        <w:t>Annuitized Remainder of the Company’s UK Pension Plan</w:t>
      </w:r>
    </w:p>
    <w:p>
      <w:pPr>
        <w:spacing w:after="0" w:line="229"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On December 1, 2025 the Company reduced its gross pension obligation by approximately $125 million by annuitizing the remainder of the Company’s UK pension plan. These actions resulted in a non-cash settlement charge of approximately $89 million.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Combined Industrial Gas Turbine and Oil &amp; Gas Revenue Disclosure into Gas Turbines</w:t>
      </w:r>
    </w:p>
    <w:p>
      <w:pPr>
        <w:spacing w:after="0" w:line="229"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In the fourth quarter 2025, the Company combined the revenue disclosure for the Industrial Gas Turbine and Oil &amp; Gas markets into Gas Turbines. The Gas Turbines market constitutes turbine parts for use in heavy-duty gas turbine units as well as small- to mid-sized gas turbine units. Turbines across these size ranges serve growing demand for electricity generation, driven by accelerating data center build-out. As a result of this change, the Company will no longer separately report the Industrial &amp; Other market. The revenue previously classified as General Industrial is now classified as Other in our market disclosures.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2026 Guidance</w:t>
      </w:r>
    </w:p>
    <w:p>
      <w:pPr>
        <w:spacing w:after="0" w:line="227" w:lineRule="exact"/>
        <w:rPr>
          <w:sz w:val="20"/>
          <w:szCs w:val="20"/>
          <w:color w:val="auto"/>
        </w:rPr>
      </w:pPr>
    </w:p>
    <w:tbl>
      <w:tblPr>
        <w:tblLayout w:type="fixed"/>
        <w:tblInd w:w="10" w:type="dxa"/>
        <w:tblCellMar>
          <w:top w:w="0" w:type="dxa"/>
          <w:left w:w="0" w:type="dxa"/>
          <w:bottom w:w="0" w:type="dxa"/>
          <w:right w:w="0" w:type="dxa"/>
        </w:tblCellMar>
      </w:tblPr>
      <w:tr>
        <w:trPr>
          <w:trHeight w:val="249"/>
        </w:trPr>
        <w:tc>
          <w:tcPr>
            <w:tcW w:w="3600" w:type="dxa"/>
            <w:vAlign w:val="bottom"/>
            <w:tcBorders>
              <w:top w:val="single" w:sz="8" w:color="auto"/>
              <w:left w:val="single" w:sz="8" w:color="auto"/>
            </w:tcBorders>
          </w:tcPr>
          <w:p>
            <w:pPr>
              <w:spacing w:after="0"/>
              <w:rPr>
                <w:sz w:val="21"/>
                <w:szCs w:val="21"/>
                <w:color w:val="auto"/>
              </w:rPr>
            </w:pPr>
          </w:p>
        </w:tc>
        <w:tc>
          <w:tcPr>
            <w:tcW w:w="440" w:type="dxa"/>
            <w:vAlign w:val="bottom"/>
            <w:tcBorders>
              <w:top w:val="single" w:sz="8" w:color="auto"/>
              <w:bottom w:val="single" w:sz="8" w:color="auto"/>
            </w:tcBorders>
          </w:tcPr>
          <w:p>
            <w:pPr>
              <w:spacing w:after="0"/>
              <w:rPr>
                <w:sz w:val="21"/>
                <w:szCs w:val="21"/>
                <w:color w:val="auto"/>
              </w:rPr>
            </w:pPr>
          </w:p>
        </w:tc>
        <w:tc>
          <w:tcPr>
            <w:tcW w:w="340" w:type="dxa"/>
            <w:vAlign w:val="bottom"/>
            <w:tcBorders>
              <w:top w:val="single" w:sz="8" w:color="auto"/>
              <w:bottom w:val="single" w:sz="8" w:color="auto"/>
            </w:tcBorders>
          </w:tcPr>
          <w:p>
            <w:pPr>
              <w:spacing w:after="0"/>
              <w:rPr>
                <w:sz w:val="21"/>
                <w:szCs w:val="21"/>
                <w:color w:val="auto"/>
              </w:rPr>
            </w:pPr>
          </w:p>
        </w:tc>
        <w:tc>
          <w:tcPr>
            <w:tcW w:w="260" w:type="dxa"/>
            <w:vAlign w:val="bottom"/>
            <w:tcBorders>
              <w:top w:val="single" w:sz="8" w:color="auto"/>
              <w:bottom w:val="single" w:sz="8" w:color="auto"/>
            </w:tcBorders>
          </w:tcPr>
          <w:p>
            <w:pPr>
              <w:spacing w:after="0"/>
              <w:rPr>
                <w:sz w:val="21"/>
                <w:szCs w:val="21"/>
                <w:color w:val="auto"/>
              </w:rPr>
            </w:pPr>
          </w:p>
        </w:tc>
        <w:tc>
          <w:tcPr>
            <w:tcW w:w="1620" w:type="dxa"/>
            <w:vAlign w:val="bottom"/>
            <w:tcBorders>
              <w:top w:val="single" w:sz="8" w:color="auto"/>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Q1 2026 Guidance</w:t>
            </w:r>
          </w:p>
        </w:tc>
        <w:tc>
          <w:tcPr>
            <w:tcW w:w="240" w:type="dxa"/>
            <w:vAlign w:val="bottom"/>
            <w:tcBorders>
              <w:top w:val="single" w:sz="8" w:color="auto"/>
              <w:bottom w:val="single" w:sz="8" w:color="auto"/>
            </w:tcBorders>
          </w:tcPr>
          <w:p>
            <w:pPr>
              <w:spacing w:after="0"/>
              <w:rPr>
                <w:sz w:val="21"/>
                <w:szCs w:val="21"/>
                <w:color w:val="auto"/>
              </w:rPr>
            </w:pPr>
          </w:p>
        </w:tc>
        <w:tc>
          <w:tcPr>
            <w:tcW w:w="380" w:type="dxa"/>
            <w:vAlign w:val="bottom"/>
            <w:tcBorders>
              <w:top w:val="single" w:sz="8" w:color="auto"/>
              <w:bottom w:val="single" w:sz="8" w:color="auto"/>
            </w:tcBorders>
          </w:tcPr>
          <w:p>
            <w:pPr>
              <w:spacing w:after="0"/>
              <w:rPr>
                <w:sz w:val="21"/>
                <w:szCs w:val="21"/>
                <w:color w:val="auto"/>
              </w:rPr>
            </w:pPr>
          </w:p>
        </w:tc>
        <w:tc>
          <w:tcPr>
            <w:tcW w:w="420" w:type="dxa"/>
            <w:vAlign w:val="bottom"/>
            <w:tcBorders>
              <w:top w:val="single" w:sz="8" w:color="auto"/>
              <w:bottom w:val="single" w:sz="8" w:color="auto"/>
            </w:tcBorders>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440" w:type="dxa"/>
            <w:vAlign w:val="bottom"/>
            <w:tcBorders>
              <w:top w:val="single" w:sz="8" w:color="auto"/>
              <w:bottom w:val="single" w:sz="8" w:color="auto"/>
            </w:tcBorders>
          </w:tcPr>
          <w:p>
            <w:pPr>
              <w:spacing w:after="0"/>
              <w:rPr>
                <w:sz w:val="21"/>
                <w:szCs w:val="21"/>
                <w:color w:val="auto"/>
              </w:rPr>
            </w:pPr>
          </w:p>
        </w:tc>
        <w:tc>
          <w:tcPr>
            <w:tcW w:w="340" w:type="dxa"/>
            <w:vAlign w:val="bottom"/>
            <w:tcBorders>
              <w:top w:val="single" w:sz="8" w:color="auto"/>
              <w:bottom w:val="single" w:sz="8" w:color="auto"/>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1640" w:type="dxa"/>
            <w:vAlign w:val="bottom"/>
            <w:tcBorders>
              <w:top w:val="single" w:sz="8" w:color="auto"/>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rPr>
              <w:t>FY 2026 Guidance</w:t>
            </w:r>
          </w:p>
        </w:tc>
        <w:tc>
          <w:tcPr>
            <w:tcW w:w="220" w:type="dxa"/>
            <w:vAlign w:val="bottom"/>
            <w:tcBorders>
              <w:top w:val="single" w:sz="8" w:color="auto"/>
              <w:bottom w:val="single" w:sz="8" w:color="auto"/>
            </w:tcBorders>
          </w:tcPr>
          <w:p>
            <w:pPr>
              <w:spacing w:after="0"/>
              <w:rPr>
                <w:sz w:val="21"/>
                <w:szCs w:val="21"/>
                <w:color w:val="auto"/>
              </w:rPr>
            </w:pPr>
          </w:p>
        </w:tc>
        <w:tc>
          <w:tcPr>
            <w:tcW w:w="380" w:type="dxa"/>
            <w:vAlign w:val="bottom"/>
            <w:tcBorders>
              <w:top w:val="single" w:sz="8" w:color="auto"/>
              <w:bottom w:val="single" w:sz="8" w:color="auto"/>
            </w:tcBorders>
          </w:tcPr>
          <w:p>
            <w:pPr>
              <w:spacing w:after="0"/>
              <w:rPr>
                <w:sz w:val="21"/>
                <w:szCs w:val="21"/>
                <w:color w:val="auto"/>
              </w:rPr>
            </w:pPr>
          </w:p>
        </w:tc>
        <w:tc>
          <w:tcPr>
            <w:tcW w:w="440" w:type="dxa"/>
            <w:vAlign w:val="bottom"/>
            <w:tcBorders>
              <w:top w:val="single" w:sz="8" w:color="auto"/>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49"/>
        </w:trPr>
        <w:tc>
          <w:tcPr>
            <w:tcW w:w="3600" w:type="dxa"/>
            <w:vAlign w:val="bottom"/>
            <w:tcBorders>
              <w:left w:val="single" w:sz="8" w:color="auto"/>
            </w:tcBorders>
            <w:vMerge w:val="restart"/>
          </w:tcPr>
          <w:p>
            <w:pPr>
              <w:ind w:left="1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440" w:type="dxa"/>
            <w:vAlign w:val="bottom"/>
          </w:tcPr>
          <w:p>
            <w:pPr>
              <w:spacing w:after="0"/>
              <w:rPr>
                <w:sz w:val="12"/>
                <w:szCs w:val="12"/>
                <w:color w:val="auto"/>
              </w:rPr>
            </w:pPr>
          </w:p>
        </w:tc>
        <w:tc>
          <w:tcPr>
            <w:tcW w:w="60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7"/>
                <w:szCs w:val="17"/>
                <w:b w:val="1"/>
                <w:bCs w:val="1"/>
                <w:color w:val="auto"/>
              </w:rPr>
              <w:t>Low</w:t>
            </w:r>
          </w:p>
        </w:tc>
        <w:tc>
          <w:tcPr>
            <w:tcW w:w="1620" w:type="dxa"/>
            <w:vAlign w:val="bottom"/>
            <w:gridSpan w:val="3"/>
          </w:tcPr>
          <w:p>
            <w:pPr>
              <w:jc w:val="center"/>
              <w:spacing w:after="0" w:line="149" w:lineRule="exact"/>
              <w:rPr>
                <w:sz w:val="20"/>
                <w:szCs w:val="20"/>
                <w:color w:val="auto"/>
              </w:rPr>
            </w:pPr>
            <w:r>
              <w:rPr>
                <w:rFonts w:ascii="Times New Roman" w:cs="Times New Roman" w:eastAsia="Times New Roman" w:hAnsi="Times New Roman"/>
                <w:sz w:val="17"/>
                <w:szCs w:val="17"/>
                <w:b w:val="1"/>
                <w:bCs w:val="1"/>
                <w:color w:val="auto"/>
              </w:rPr>
              <w:t>Baseline</w:t>
            </w:r>
          </w:p>
        </w:tc>
        <w:tc>
          <w:tcPr>
            <w:tcW w:w="1040" w:type="dxa"/>
            <w:vAlign w:val="bottom"/>
            <w:gridSpan w:val="3"/>
          </w:tcPr>
          <w:p>
            <w:pPr>
              <w:ind w:left="240"/>
              <w:spacing w:after="0" w:line="149" w:lineRule="exact"/>
              <w:rPr>
                <w:sz w:val="20"/>
                <w:szCs w:val="20"/>
                <w:color w:val="auto"/>
              </w:rPr>
            </w:pPr>
            <w:r>
              <w:rPr>
                <w:rFonts w:ascii="Times New Roman" w:cs="Times New Roman" w:eastAsia="Times New Roman" w:hAnsi="Times New Roman"/>
                <w:sz w:val="17"/>
                <w:szCs w:val="17"/>
                <w:b w:val="1"/>
                <w:bCs w:val="1"/>
                <w:color w:val="auto"/>
              </w:rPr>
              <w:t>High</w:t>
            </w:r>
          </w:p>
        </w:tc>
        <w:tc>
          <w:tcPr>
            <w:tcW w:w="240" w:type="dxa"/>
            <w:vAlign w:val="bottom"/>
          </w:tcPr>
          <w:p>
            <w:pPr>
              <w:spacing w:after="0"/>
              <w:rPr>
                <w:sz w:val="12"/>
                <w:szCs w:val="12"/>
                <w:color w:val="auto"/>
              </w:rPr>
            </w:pPr>
          </w:p>
        </w:tc>
        <w:tc>
          <w:tcPr>
            <w:tcW w:w="1020" w:type="dxa"/>
            <w:vAlign w:val="bottom"/>
            <w:gridSpan w:val="3"/>
          </w:tcPr>
          <w:p>
            <w:pPr>
              <w:ind w:left="440"/>
              <w:spacing w:after="0" w:line="149" w:lineRule="exact"/>
              <w:rPr>
                <w:sz w:val="20"/>
                <w:szCs w:val="20"/>
                <w:color w:val="auto"/>
              </w:rPr>
            </w:pPr>
            <w:r>
              <w:rPr>
                <w:rFonts w:ascii="Times New Roman" w:cs="Times New Roman" w:eastAsia="Times New Roman" w:hAnsi="Times New Roman"/>
                <w:sz w:val="17"/>
                <w:szCs w:val="17"/>
                <w:b w:val="1"/>
                <w:bCs w:val="1"/>
                <w:color w:val="auto"/>
              </w:rPr>
              <w:t>Low</w:t>
            </w:r>
          </w:p>
        </w:tc>
        <w:tc>
          <w:tcPr>
            <w:tcW w:w="500" w:type="dxa"/>
            <w:vAlign w:val="bottom"/>
          </w:tcPr>
          <w:p>
            <w:pPr>
              <w:spacing w:after="0"/>
              <w:rPr>
                <w:sz w:val="12"/>
                <w:szCs w:val="12"/>
                <w:color w:val="auto"/>
              </w:rPr>
            </w:pPr>
          </w:p>
        </w:tc>
        <w:tc>
          <w:tcPr>
            <w:tcW w:w="1140" w:type="dxa"/>
            <w:vAlign w:val="bottom"/>
            <w:gridSpan w:val="2"/>
          </w:tcPr>
          <w:p>
            <w:pPr>
              <w:jc w:val="center"/>
              <w:ind w:right="500"/>
              <w:spacing w:after="0" w:line="149" w:lineRule="exact"/>
              <w:rPr>
                <w:sz w:val="20"/>
                <w:szCs w:val="20"/>
                <w:color w:val="auto"/>
              </w:rPr>
            </w:pPr>
            <w:r>
              <w:rPr>
                <w:rFonts w:ascii="Times New Roman" w:cs="Times New Roman" w:eastAsia="Times New Roman" w:hAnsi="Times New Roman"/>
                <w:sz w:val="17"/>
                <w:szCs w:val="17"/>
                <w:b w:val="1"/>
                <w:bCs w:val="1"/>
                <w:color w:val="auto"/>
              </w:rPr>
              <w:t>Baseline</w:t>
            </w:r>
          </w:p>
        </w:tc>
        <w:tc>
          <w:tcPr>
            <w:tcW w:w="220" w:type="dxa"/>
            <w:vAlign w:val="bottom"/>
          </w:tcPr>
          <w:p>
            <w:pPr>
              <w:spacing w:after="0"/>
              <w:rPr>
                <w:sz w:val="12"/>
                <w:szCs w:val="12"/>
                <w:color w:val="auto"/>
              </w:rPr>
            </w:pPr>
          </w:p>
        </w:tc>
        <w:tc>
          <w:tcPr>
            <w:tcW w:w="820" w:type="dxa"/>
            <w:vAlign w:val="bottom"/>
            <w:tcBorders>
              <w:right w:val="single" w:sz="8" w:color="auto"/>
            </w:tcBorders>
            <w:gridSpan w:val="2"/>
          </w:tcPr>
          <w:p>
            <w:pPr>
              <w:spacing w:after="0" w:line="149" w:lineRule="exact"/>
              <w:rPr>
                <w:sz w:val="20"/>
                <w:szCs w:val="20"/>
                <w:color w:val="auto"/>
              </w:rPr>
            </w:pPr>
            <w:r>
              <w:rPr>
                <w:rFonts w:ascii="Times New Roman" w:cs="Times New Roman" w:eastAsia="Times New Roman" w:hAnsi="Times New Roman"/>
                <w:sz w:val="17"/>
                <w:szCs w:val="17"/>
                <w:b w:val="1"/>
                <w:bCs w:val="1"/>
                <w:color w:val="auto"/>
              </w:rPr>
              <w:t>High</w:t>
            </w:r>
          </w:p>
        </w:tc>
        <w:tc>
          <w:tcPr>
            <w:tcW w:w="0" w:type="dxa"/>
            <w:vAlign w:val="bottom"/>
          </w:tcPr>
          <w:p>
            <w:pPr>
              <w:spacing w:after="0"/>
              <w:rPr>
                <w:sz w:val="1"/>
                <w:szCs w:val="1"/>
                <w:color w:val="auto"/>
              </w:rPr>
            </w:pPr>
          </w:p>
        </w:tc>
      </w:tr>
      <w:tr>
        <w:trPr>
          <w:trHeight w:val="20"/>
        </w:trPr>
        <w:tc>
          <w:tcPr>
            <w:tcW w:w="3600" w:type="dxa"/>
            <w:vAlign w:val="bottom"/>
            <w:tcBorders>
              <w:left w:val="single" w:sz="8" w:color="auto"/>
            </w:tcBorders>
            <w:vMerge w:val="continu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4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3600" w:type="dxa"/>
            <w:vAlign w:val="bottom"/>
            <w:tcBorders>
              <w:left w:val="single" w:sz="8" w:color="auto"/>
            </w:tcBorders>
            <w:vMerge w:val="continue"/>
          </w:tcPr>
          <w:p>
            <w:pPr>
              <w:spacing w:after="0"/>
              <w:rPr>
                <w:sz w:val="18"/>
                <w:szCs w:val="18"/>
                <w:color w:val="auto"/>
              </w:rPr>
            </w:pPr>
          </w:p>
        </w:tc>
        <w:tc>
          <w:tcPr>
            <w:tcW w:w="1040" w:type="dxa"/>
            <w:vAlign w:val="bottom"/>
            <w:gridSpan w:val="3"/>
          </w:tcPr>
          <w:p>
            <w:pPr>
              <w:jc w:val="center"/>
              <w:ind w:left="110"/>
              <w:spacing w:after="0"/>
              <w:rPr>
                <w:sz w:val="20"/>
                <w:szCs w:val="20"/>
                <w:color w:val="auto"/>
              </w:rPr>
            </w:pPr>
            <w:r>
              <w:rPr>
                <w:rFonts w:ascii="Times New Roman" w:cs="Times New Roman" w:eastAsia="Times New Roman" w:hAnsi="Times New Roman"/>
                <w:sz w:val="18"/>
                <w:szCs w:val="18"/>
                <w:color w:val="auto"/>
                <w:w w:val="97"/>
              </w:rPr>
              <w:t>$2.225B</w:t>
            </w:r>
          </w:p>
        </w:tc>
        <w:tc>
          <w:tcPr>
            <w:tcW w:w="500" w:type="dxa"/>
            <w:vAlign w:val="bottom"/>
          </w:tcPr>
          <w:p>
            <w:pPr>
              <w:spacing w:after="0"/>
              <w:rPr>
                <w:sz w:val="18"/>
                <w:szCs w:val="18"/>
                <w:color w:val="auto"/>
              </w:rPr>
            </w:pPr>
          </w:p>
        </w:tc>
        <w:tc>
          <w:tcPr>
            <w:tcW w:w="1120" w:type="dxa"/>
            <w:vAlign w:val="bottom"/>
            <w:gridSpan w:val="2"/>
          </w:tcPr>
          <w:p>
            <w:pPr>
              <w:jc w:val="center"/>
              <w:ind w:right="500"/>
              <w:spacing w:after="0"/>
              <w:rPr>
                <w:sz w:val="20"/>
                <w:szCs w:val="20"/>
                <w:color w:val="auto"/>
              </w:rPr>
            </w:pPr>
            <w:r>
              <w:rPr>
                <w:rFonts w:ascii="Times New Roman" w:cs="Times New Roman" w:eastAsia="Times New Roman" w:hAnsi="Times New Roman"/>
                <w:sz w:val="18"/>
                <w:szCs w:val="18"/>
                <w:color w:val="auto"/>
              </w:rPr>
              <w:t>$2.235B</w:t>
            </w:r>
          </w:p>
        </w:tc>
        <w:tc>
          <w:tcPr>
            <w:tcW w:w="1280" w:type="dxa"/>
            <w:vAlign w:val="bottom"/>
            <w:gridSpan w:val="4"/>
          </w:tcPr>
          <w:p>
            <w:pPr>
              <w:jc w:val="center"/>
              <w:ind w:right="420"/>
              <w:spacing w:after="0"/>
              <w:rPr>
                <w:sz w:val="20"/>
                <w:szCs w:val="20"/>
                <w:color w:val="auto"/>
              </w:rPr>
            </w:pPr>
            <w:r>
              <w:rPr>
                <w:rFonts w:ascii="Times New Roman" w:cs="Times New Roman" w:eastAsia="Times New Roman" w:hAnsi="Times New Roman"/>
                <w:sz w:val="18"/>
                <w:szCs w:val="18"/>
                <w:color w:val="auto"/>
              </w:rPr>
              <w:t>$2.245B</w:t>
            </w:r>
          </w:p>
        </w:tc>
        <w:tc>
          <w:tcPr>
            <w:tcW w:w="1020" w:type="dxa"/>
            <w:vAlign w:val="bottom"/>
            <w:gridSpan w:val="3"/>
          </w:tcPr>
          <w:p>
            <w:pPr>
              <w:jc w:val="center"/>
              <w:ind w:left="111"/>
              <w:spacing w:after="0"/>
              <w:rPr>
                <w:sz w:val="20"/>
                <w:szCs w:val="20"/>
                <w:color w:val="auto"/>
              </w:rPr>
            </w:pPr>
            <w:r>
              <w:rPr>
                <w:rFonts w:ascii="Times New Roman" w:cs="Times New Roman" w:eastAsia="Times New Roman" w:hAnsi="Times New Roman"/>
                <w:sz w:val="18"/>
                <w:szCs w:val="18"/>
                <w:color w:val="auto"/>
              </w:rPr>
              <w:t>$9.000B</w:t>
            </w:r>
          </w:p>
        </w:tc>
        <w:tc>
          <w:tcPr>
            <w:tcW w:w="500" w:type="dxa"/>
            <w:vAlign w:val="bottom"/>
          </w:tcPr>
          <w:p>
            <w:pPr>
              <w:spacing w:after="0"/>
              <w:rPr>
                <w:sz w:val="18"/>
                <w:szCs w:val="18"/>
                <w:color w:val="auto"/>
              </w:rPr>
            </w:pPr>
          </w:p>
        </w:tc>
        <w:tc>
          <w:tcPr>
            <w:tcW w:w="114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color w:val="auto"/>
              </w:rPr>
              <w:t>$9.100B</w:t>
            </w:r>
          </w:p>
        </w:tc>
        <w:tc>
          <w:tcPr>
            <w:tcW w:w="1040" w:type="dxa"/>
            <w:vAlign w:val="bottom"/>
            <w:tcBorders>
              <w:right w:val="single" w:sz="8" w:color="auto"/>
            </w:tcBorders>
            <w:gridSpan w:val="3"/>
          </w:tcPr>
          <w:p>
            <w:pPr>
              <w:jc w:val="center"/>
              <w:ind w:right="220"/>
              <w:spacing w:after="0"/>
              <w:rPr>
                <w:sz w:val="20"/>
                <w:szCs w:val="20"/>
                <w:color w:val="auto"/>
              </w:rPr>
            </w:pPr>
            <w:r>
              <w:rPr>
                <w:rFonts w:ascii="Times New Roman" w:cs="Times New Roman" w:eastAsia="Times New Roman" w:hAnsi="Times New Roman"/>
                <w:sz w:val="18"/>
                <w:szCs w:val="18"/>
                <w:color w:val="auto"/>
              </w:rPr>
              <w:t>$9.200B</w:t>
            </w:r>
          </w:p>
        </w:tc>
        <w:tc>
          <w:tcPr>
            <w:tcW w:w="0" w:type="dxa"/>
            <w:vAlign w:val="bottom"/>
          </w:tcPr>
          <w:p>
            <w:pPr>
              <w:spacing w:after="0"/>
              <w:rPr>
                <w:sz w:val="1"/>
                <w:szCs w:val="1"/>
                <w:color w:val="auto"/>
              </w:rPr>
            </w:pPr>
          </w:p>
        </w:tc>
      </w:tr>
      <w:tr>
        <w:trPr>
          <w:trHeight w:val="255"/>
        </w:trPr>
        <w:tc>
          <w:tcPr>
            <w:tcW w:w="3600" w:type="dxa"/>
            <w:vAlign w:val="bottom"/>
            <w:tcBorders>
              <w:left w:val="single" w:sz="8" w:color="auto"/>
            </w:tcBorders>
          </w:tcPr>
          <w:p>
            <w:pPr>
              <w:ind w:left="120"/>
              <w:spacing w:after="0" w:line="255" w:lineRule="exact"/>
              <w:rPr>
                <w:sz w:val="20"/>
                <w:szCs w:val="20"/>
                <w:color w:val="auto"/>
              </w:rPr>
            </w:pPr>
            <w:r>
              <w:rPr>
                <w:rFonts w:ascii="Times New Roman" w:cs="Times New Roman" w:eastAsia="Times New Roman" w:hAnsi="Times New Roman"/>
                <w:sz w:val="18"/>
                <w:szCs w:val="18"/>
                <w:b w:val="1"/>
                <w:bCs w:val="1"/>
                <w:color w:val="auto"/>
              </w:rPr>
              <w:t>Adj. EBITDA</w:t>
            </w:r>
            <w:r>
              <w:rPr>
                <w:rFonts w:ascii="Times New Roman" w:cs="Times New Roman" w:eastAsia="Times New Roman" w:hAnsi="Times New Roman"/>
                <w:sz w:val="29"/>
                <w:szCs w:val="29"/>
                <w:b w:val="1"/>
                <w:bCs w:val="1"/>
                <w:color w:val="auto"/>
                <w:vertAlign w:val="superscript"/>
              </w:rPr>
              <w:t>*1</w:t>
            </w:r>
          </w:p>
        </w:tc>
        <w:tc>
          <w:tcPr>
            <w:tcW w:w="1040" w:type="dxa"/>
            <w:vAlign w:val="bottom"/>
            <w:gridSpan w:val="3"/>
          </w:tcPr>
          <w:p>
            <w:pPr>
              <w:jc w:val="center"/>
              <w:ind w:left="110"/>
              <w:spacing w:after="0"/>
              <w:rPr>
                <w:sz w:val="20"/>
                <w:szCs w:val="20"/>
                <w:color w:val="auto"/>
              </w:rPr>
            </w:pPr>
            <w:r>
              <w:rPr>
                <w:rFonts w:ascii="Times New Roman" w:cs="Times New Roman" w:eastAsia="Times New Roman" w:hAnsi="Times New Roman"/>
                <w:sz w:val="18"/>
                <w:szCs w:val="18"/>
                <w:color w:val="auto"/>
                <w:w w:val="99"/>
              </w:rPr>
              <w:t>$680M</w:t>
            </w:r>
          </w:p>
        </w:tc>
        <w:tc>
          <w:tcPr>
            <w:tcW w:w="500" w:type="dxa"/>
            <w:vAlign w:val="bottom"/>
          </w:tcPr>
          <w:p>
            <w:pPr>
              <w:spacing w:after="0"/>
              <w:rPr>
                <w:sz w:val="22"/>
                <w:szCs w:val="22"/>
                <w:color w:val="auto"/>
              </w:rPr>
            </w:pPr>
          </w:p>
        </w:tc>
        <w:tc>
          <w:tcPr>
            <w:tcW w:w="112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color w:val="auto"/>
                <w:w w:val="99"/>
              </w:rPr>
              <w:t>$685M</w:t>
            </w:r>
          </w:p>
        </w:tc>
        <w:tc>
          <w:tcPr>
            <w:tcW w:w="1280" w:type="dxa"/>
            <w:vAlign w:val="bottom"/>
            <w:gridSpan w:val="4"/>
          </w:tcPr>
          <w:p>
            <w:pPr>
              <w:jc w:val="center"/>
              <w:ind w:right="440"/>
              <w:spacing w:after="0"/>
              <w:rPr>
                <w:sz w:val="20"/>
                <w:szCs w:val="20"/>
                <w:color w:val="auto"/>
              </w:rPr>
            </w:pPr>
            <w:r>
              <w:rPr>
                <w:rFonts w:ascii="Times New Roman" w:cs="Times New Roman" w:eastAsia="Times New Roman" w:hAnsi="Times New Roman"/>
                <w:sz w:val="18"/>
                <w:szCs w:val="18"/>
                <w:color w:val="auto"/>
                <w:w w:val="99"/>
              </w:rPr>
              <w:t>$690M</w:t>
            </w:r>
          </w:p>
        </w:tc>
        <w:tc>
          <w:tcPr>
            <w:tcW w:w="1020" w:type="dxa"/>
            <w:vAlign w:val="bottom"/>
            <w:gridSpan w:val="3"/>
          </w:tcPr>
          <w:p>
            <w:pPr>
              <w:jc w:val="center"/>
              <w:ind w:left="111"/>
              <w:spacing w:after="0"/>
              <w:rPr>
                <w:sz w:val="20"/>
                <w:szCs w:val="20"/>
                <w:color w:val="auto"/>
              </w:rPr>
            </w:pPr>
            <w:r>
              <w:rPr>
                <w:rFonts w:ascii="Times New Roman" w:cs="Times New Roman" w:eastAsia="Times New Roman" w:hAnsi="Times New Roman"/>
                <w:sz w:val="18"/>
                <w:szCs w:val="18"/>
                <w:color w:val="auto"/>
              </w:rPr>
              <w:t>$2.710B</w:t>
            </w:r>
          </w:p>
        </w:tc>
        <w:tc>
          <w:tcPr>
            <w:tcW w:w="500" w:type="dxa"/>
            <w:vAlign w:val="bottom"/>
          </w:tcPr>
          <w:p>
            <w:pPr>
              <w:spacing w:after="0"/>
              <w:rPr>
                <w:sz w:val="22"/>
                <w:szCs w:val="22"/>
                <w:color w:val="auto"/>
              </w:rPr>
            </w:pPr>
          </w:p>
        </w:tc>
        <w:tc>
          <w:tcPr>
            <w:tcW w:w="114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color w:val="auto"/>
              </w:rPr>
              <w:t>$2.760B</w:t>
            </w:r>
          </w:p>
        </w:tc>
        <w:tc>
          <w:tcPr>
            <w:tcW w:w="1040" w:type="dxa"/>
            <w:vAlign w:val="bottom"/>
            <w:tcBorders>
              <w:right w:val="single" w:sz="8" w:color="auto"/>
            </w:tcBorders>
            <w:gridSpan w:val="3"/>
          </w:tcPr>
          <w:p>
            <w:pPr>
              <w:jc w:val="center"/>
              <w:ind w:right="220"/>
              <w:spacing w:after="0"/>
              <w:rPr>
                <w:sz w:val="20"/>
                <w:szCs w:val="20"/>
                <w:color w:val="auto"/>
              </w:rPr>
            </w:pPr>
            <w:r>
              <w:rPr>
                <w:rFonts w:ascii="Times New Roman" w:cs="Times New Roman" w:eastAsia="Times New Roman" w:hAnsi="Times New Roman"/>
                <w:sz w:val="18"/>
                <w:szCs w:val="18"/>
                <w:color w:val="auto"/>
              </w:rPr>
              <w:t>$2.810B</w:t>
            </w:r>
          </w:p>
        </w:tc>
        <w:tc>
          <w:tcPr>
            <w:tcW w:w="0" w:type="dxa"/>
            <w:vAlign w:val="bottom"/>
          </w:tcPr>
          <w:p>
            <w:pPr>
              <w:spacing w:after="0"/>
              <w:rPr>
                <w:sz w:val="1"/>
                <w:szCs w:val="1"/>
                <w:color w:val="auto"/>
              </w:rPr>
            </w:pPr>
          </w:p>
        </w:tc>
      </w:tr>
      <w:tr>
        <w:trPr>
          <w:trHeight w:val="258"/>
        </w:trPr>
        <w:tc>
          <w:tcPr>
            <w:tcW w:w="3600" w:type="dxa"/>
            <w:vAlign w:val="bottom"/>
            <w:tcBorders>
              <w:left w:val="single" w:sz="8" w:color="auto"/>
            </w:tcBorders>
          </w:tcPr>
          <w:p>
            <w:pPr>
              <w:ind w:left="120"/>
              <w:spacing w:after="0" w:line="258" w:lineRule="exact"/>
              <w:rPr>
                <w:sz w:val="20"/>
                <w:szCs w:val="20"/>
                <w:color w:val="auto"/>
              </w:rPr>
            </w:pPr>
            <w:r>
              <w:rPr>
                <w:rFonts w:ascii="Times New Roman" w:cs="Times New Roman" w:eastAsia="Times New Roman" w:hAnsi="Times New Roman"/>
                <w:sz w:val="18"/>
                <w:szCs w:val="18"/>
                <w:b w:val="1"/>
                <w:bCs w:val="1"/>
                <w:color w:val="auto"/>
              </w:rPr>
              <w:t>Adj. EBITDA Margin</w:t>
            </w:r>
            <w:r>
              <w:rPr>
                <w:rFonts w:ascii="Times New Roman" w:cs="Times New Roman" w:eastAsia="Times New Roman" w:hAnsi="Times New Roman"/>
                <w:sz w:val="29"/>
                <w:szCs w:val="29"/>
                <w:b w:val="1"/>
                <w:bCs w:val="1"/>
                <w:color w:val="auto"/>
                <w:vertAlign w:val="superscript"/>
              </w:rPr>
              <w:t>*1</w:t>
            </w:r>
          </w:p>
        </w:tc>
        <w:tc>
          <w:tcPr>
            <w:tcW w:w="1040" w:type="dxa"/>
            <w:vAlign w:val="bottom"/>
            <w:gridSpan w:val="3"/>
          </w:tcPr>
          <w:p>
            <w:pPr>
              <w:jc w:val="center"/>
              <w:ind w:left="110"/>
              <w:spacing w:after="0"/>
              <w:rPr>
                <w:sz w:val="20"/>
                <w:szCs w:val="20"/>
                <w:color w:val="auto"/>
              </w:rPr>
            </w:pPr>
            <w:r>
              <w:rPr>
                <w:rFonts w:ascii="Times New Roman" w:cs="Times New Roman" w:eastAsia="Times New Roman" w:hAnsi="Times New Roman"/>
                <w:sz w:val="18"/>
                <w:szCs w:val="18"/>
                <w:i w:val="1"/>
                <w:iCs w:val="1"/>
                <w:color w:val="auto"/>
              </w:rPr>
              <w:t>30.6%</w:t>
            </w:r>
          </w:p>
        </w:tc>
        <w:tc>
          <w:tcPr>
            <w:tcW w:w="1140" w:type="dxa"/>
            <w:vAlign w:val="bottom"/>
            <w:gridSpan w:val="2"/>
          </w:tcPr>
          <w:p>
            <w:pPr>
              <w:jc w:val="center"/>
              <w:ind w:left="391"/>
              <w:spacing w:after="0"/>
              <w:rPr>
                <w:sz w:val="20"/>
                <w:szCs w:val="20"/>
                <w:color w:val="auto"/>
              </w:rPr>
            </w:pPr>
            <w:r>
              <w:rPr>
                <w:rFonts w:ascii="Times New Roman" w:cs="Times New Roman" w:eastAsia="Times New Roman" w:hAnsi="Times New Roman"/>
                <w:sz w:val="18"/>
                <w:szCs w:val="18"/>
                <w:i w:val="1"/>
                <w:iCs w:val="1"/>
                <w:color w:val="auto"/>
                <w:w w:val="98"/>
              </w:rPr>
              <w:t>30.6%</w:t>
            </w:r>
          </w:p>
        </w:tc>
        <w:tc>
          <w:tcPr>
            <w:tcW w:w="480" w:type="dxa"/>
            <w:vAlign w:val="bottom"/>
          </w:tcPr>
          <w:p>
            <w:pPr>
              <w:spacing w:after="0"/>
              <w:rPr>
                <w:sz w:val="22"/>
                <w:szCs w:val="22"/>
                <w:color w:val="auto"/>
              </w:rPr>
            </w:pPr>
          </w:p>
        </w:tc>
        <w:tc>
          <w:tcPr>
            <w:tcW w:w="1040" w:type="dxa"/>
            <w:vAlign w:val="bottom"/>
            <w:gridSpan w:val="3"/>
          </w:tcPr>
          <w:p>
            <w:pPr>
              <w:jc w:val="center"/>
              <w:ind w:right="180"/>
              <w:spacing w:after="0"/>
              <w:rPr>
                <w:sz w:val="20"/>
                <w:szCs w:val="20"/>
                <w:color w:val="auto"/>
              </w:rPr>
            </w:pPr>
            <w:r>
              <w:rPr>
                <w:rFonts w:ascii="Times New Roman" w:cs="Times New Roman" w:eastAsia="Times New Roman" w:hAnsi="Times New Roman"/>
                <w:sz w:val="18"/>
                <w:szCs w:val="18"/>
                <w:i w:val="1"/>
                <w:iCs w:val="1"/>
                <w:color w:val="auto"/>
                <w:w w:val="98"/>
              </w:rPr>
              <w:t>30.7%</w:t>
            </w:r>
          </w:p>
        </w:tc>
        <w:tc>
          <w:tcPr>
            <w:tcW w:w="240" w:type="dxa"/>
            <w:vAlign w:val="bottom"/>
          </w:tcPr>
          <w:p>
            <w:pPr>
              <w:spacing w:after="0"/>
              <w:rPr>
                <w:sz w:val="22"/>
                <w:szCs w:val="22"/>
                <w:color w:val="auto"/>
              </w:rPr>
            </w:pPr>
          </w:p>
        </w:tc>
        <w:tc>
          <w:tcPr>
            <w:tcW w:w="1020" w:type="dxa"/>
            <w:vAlign w:val="bottom"/>
            <w:gridSpan w:val="3"/>
          </w:tcPr>
          <w:p>
            <w:pPr>
              <w:jc w:val="center"/>
              <w:ind w:left="111"/>
              <w:spacing w:after="0"/>
              <w:rPr>
                <w:sz w:val="20"/>
                <w:szCs w:val="20"/>
                <w:color w:val="auto"/>
              </w:rPr>
            </w:pPr>
            <w:r>
              <w:rPr>
                <w:rFonts w:ascii="Times New Roman" w:cs="Times New Roman" w:eastAsia="Times New Roman" w:hAnsi="Times New Roman"/>
                <w:sz w:val="18"/>
                <w:szCs w:val="18"/>
                <w:i w:val="1"/>
                <w:iCs w:val="1"/>
                <w:color w:val="auto"/>
                <w:w w:val="98"/>
              </w:rPr>
              <w:t>30.1%</w:t>
            </w:r>
          </w:p>
        </w:tc>
        <w:tc>
          <w:tcPr>
            <w:tcW w:w="1140" w:type="dxa"/>
            <w:vAlign w:val="bottom"/>
            <w:gridSpan w:val="2"/>
          </w:tcPr>
          <w:p>
            <w:pPr>
              <w:jc w:val="center"/>
              <w:ind w:left="430"/>
              <w:spacing w:after="0"/>
              <w:rPr>
                <w:sz w:val="20"/>
                <w:szCs w:val="20"/>
                <w:color w:val="auto"/>
              </w:rPr>
            </w:pPr>
            <w:r>
              <w:rPr>
                <w:rFonts w:ascii="Times New Roman" w:cs="Times New Roman" w:eastAsia="Times New Roman" w:hAnsi="Times New Roman"/>
                <w:sz w:val="18"/>
                <w:szCs w:val="18"/>
                <w:i w:val="1"/>
                <w:iCs w:val="1"/>
                <w:color w:val="auto"/>
                <w:w w:val="98"/>
              </w:rPr>
              <w:t>30.3%</w:t>
            </w:r>
          </w:p>
        </w:tc>
        <w:tc>
          <w:tcPr>
            <w:tcW w:w="500" w:type="dxa"/>
            <w:vAlign w:val="bottom"/>
          </w:tcPr>
          <w:p>
            <w:pPr>
              <w:spacing w:after="0"/>
              <w:rPr>
                <w:sz w:val="22"/>
                <w:szCs w:val="22"/>
                <w:color w:val="auto"/>
              </w:rPr>
            </w:pPr>
          </w:p>
        </w:tc>
        <w:tc>
          <w:tcPr>
            <w:tcW w:w="1040" w:type="dxa"/>
            <w:vAlign w:val="bottom"/>
            <w:tcBorders>
              <w:right w:val="single" w:sz="8" w:color="auto"/>
            </w:tcBorders>
            <w:gridSpan w:val="3"/>
          </w:tcPr>
          <w:p>
            <w:pPr>
              <w:jc w:val="center"/>
              <w:ind w:right="220"/>
              <w:spacing w:after="0"/>
              <w:rPr>
                <w:sz w:val="20"/>
                <w:szCs w:val="20"/>
                <w:color w:val="auto"/>
              </w:rPr>
            </w:pPr>
            <w:r>
              <w:rPr>
                <w:rFonts w:ascii="Times New Roman" w:cs="Times New Roman" w:eastAsia="Times New Roman" w:hAnsi="Times New Roman"/>
                <w:sz w:val="18"/>
                <w:szCs w:val="18"/>
                <w:i w:val="1"/>
                <w:iCs w:val="1"/>
                <w:color w:val="auto"/>
                <w:w w:val="98"/>
              </w:rPr>
              <w:t>30.5%</w:t>
            </w:r>
          </w:p>
        </w:tc>
        <w:tc>
          <w:tcPr>
            <w:tcW w:w="0" w:type="dxa"/>
            <w:vAlign w:val="bottom"/>
          </w:tcPr>
          <w:p>
            <w:pPr>
              <w:spacing w:after="0"/>
              <w:rPr>
                <w:sz w:val="1"/>
                <w:szCs w:val="1"/>
                <w:color w:val="auto"/>
              </w:rPr>
            </w:pPr>
          </w:p>
        </w:tc>
      </w:tr>
      <w:tr>
        <w:trPr>
          <w:trHeight w:val="257"/>
        </w:trPr>
        <w:tc>
          <w:tcPr>
            <w:tcW w:w="3600" w:type="dxa"/>
            <w:vAlign w:val="bottom"/>
            <w:tcBorders>
              <w:left w:val="single" w:sz="8" w:color="auto"/>
            </w:tcBorders>
          </w:tcPr>
          <w:p>
            <w:pPr>
              <w:ind w:left="120"/>
              <w:spacing w:after="0" w:line="256" w:lineRule="exact"/>
              <w:rPr>
                <w:sz w:val="20"/>
                <w:szCs w:val="20"/>
                <w:color w:val="auto"/>
              </w:rPr>
            </w:pPr>
            <w:r>
              <w:rPr>
                <w:rFonts w:ascii="Times New Roman" w:cs="Times New Roman" w:eastAsia="Times New Roman" w:hAnsi="Times New Roman"/>
                <w:sz w:val="18"/>
                <w:szCs w:val="18"/>
                <w:b w:val="1"/>
                <w:bCs w:val="1"/>
                <w:color w:val="auto"/>
              </w:rPr>
              <w:t>Adj. Earnings per Share</w:t>
            </w:r>
            <w:r>
              <w:rPr>
                <w:rFonts w:ascii="Times New Roman" w:cs="Times New Roman" w:eastAsia="Times New Roman" w:hAnsi="Times New Roman"/>
                <w:sz w:val="29"/>
                <w:szCs w:val="29"/>
                <w:b w:val="1"/>
                <w:bCs w:val="1"/>
                <w:color w:val="auto"/>
                <w:vertAlign w:val="superscript"/>
              </w:rPr>
              <w:t>*1</w:t>
            </w:r>
          </w:p>
        </w:tc>
        <w:tc>
          <w:tcPr>
            <w:tcW w:w="1040" w:type="dxa"/>
            <w:vAlign w:val="bottom"/>
            <w:gridSpan w:val="3"/>
          </w:tcPr>
          <w:p>
            <w:pPr>
              <w:jc w:val="center"/>
              <w:ind w:left="110"/>
              <w:spacing w:after="0"/>
              <w:rPr>
                <w:sz w:val="20"/>
                <w:szCs w:val="20"/>
                <w:color w:val="auto"/>
              </w:rPr>
            </w:pPr>
            <w:r>
              <w:rPr>
                <w:rFonts w:ascii="Times New Roman" w:cs="Times New Roman" w:eastAsia="Times New Roman" w:hAnsi="Times New Roman"/>
                <w:sz w:val="18"/>
                <w:szCs w:val="18"/>
                <w:color w:val="auto"/>
                <w:w w:val="98"/>
              </w:rPr>
              <w:t>$1.09</w:t>
            </w:r>
          </w:p>
        </w:tc>
        <w:tc>
          <w:tcPr>
            <w:tcW w:w="1140" w:type="dxa"/>
            <w:vAlign w:val="bottom"/>
            <w:gridSpan w:val="2"/>
          </w:tcPr>
          <w:p>
            <w:pPr>
              <w:jc w:val="center"/>
              <w:ind w:left="411"/>
              <w:spacing w:after="0"/>
              <w:rPr>
                <w:sz w:val="20"/>
                <w:szCs w:val="20"/>
                <w:color w:val="auto"/>
              </w:rPr>
            </w:pPr>
            <w:r>
              <w:rPr>
                <w:rFonts w:ascii="Times New Roman" w:cs="Times New Roman" w:eastAsia="Times New Roman" w:hAnsi="Times New Roman"/>
                <w:sz w:val="18"/>
                <w:szCs w:val="18"/>
                <w:color w:val="auto"/>
                <w:w w:val="98"/>
              </w:rPr>
              <w:t>$1.10</w:t>
            </w:r>
          </w:p>
        </w:tc>
        <w:tc>
          <w:tcPr>
            <w:tcW w:w="480" w:type="dxa"/>
            <w:vAlign w:val="bottom"/>
          </w:tcPr>
          <w:p>
            <w:pPr>
              <w:spacing w:after="0"/>
              <w:rPr>
                <w:sz w:val="22"/>
                <w:szCs w:val="22"/>
                <w:color w:val="auto"/>
              </w:rPr>
            </w:pPr>
          </w:p>
        </w:tc>
        <w:tc>
          <w:tcPr>
            <w:tcW w:w="104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color w:val="auto"/>
                <w:w w:val="98"/>
              </w:rPr>
              <w:t>$1.11</w:t>
            </w:r>
          </w:p>
        </w:tc>
        <w:tc>
          <w:tcPr>
            <w:tcW w:w="240" w:type="dxa"/>
            <w:vAlign w:val="bottom"/>
          </w:tcPr>
          <w:p>
            <w:pPr>
              <w:spacing w:after="0"/>
              <w:rPr>
                <w:sz w:val="22"/>
                <w:szCs w:val="22"/>
                <w:color w:val="auto"/>
              </w:rPr>
            </w:pPr>
          </w:p>
        </w:tc>
        <w:tc>
          <w:tcPr>
            <w:tcW w:w="1020" w:type="dxa"/>
            <w:vAlign w:val="bottom"/>
            <w:gridSpan w:val="3"/>
          </w:tcPr>
          <w:p>
            <w:pPr>
              <w:jc w:val="center"/>
              <w:ind w:left="131"/>
              <w:spacing w:after="0"/>
              <w:rPr>
                <w:sz w:val="20"/>
                <w:szCs w:val="20"/>
                <w:color w:val="auto"/>
              </w:rPr>
            </w:pPr>
            <w:r>
              <w:rPr>
                <w:rFonts w:ascii="Times New Roman" w:cs="Times New Roman" w:eastAsia="Times New Roman" w:hAnsi="Times New Roman"/>
                <w:sz w:val="18"/>
                <w:szCs w:val="18"/>
                <w:color w:val="auto"/>
                <w:w w:val="98"/>
              </w:rPr>
              <w:t>$4.35</w:t>
            </w:r>
          </w:p>
        </w:tc>
        <w:tc>
          <w:tcPr>
            <w:tcW w:w="1140" w:type="dxa"/>
            <w:vAlign w:val="bottom"/>
            <w:gridSpan w:val="2"/>
          </w:tcPr>
          <w:p>
            <w:pPr>
              <w:jc w:val="center"/>
              <w:ind w:left="410"/>
              <w:spacing w:after="0"/>
              <w:rPr>
                <w:sz w:val="20"/>
                <w:szCs w:val="20"/>
                <w:color w:val="auto"/>
              </w:rPr>
            </w:pPr>
            <w:r>
              <w:rPr>
                <w:rFonts w:ascii="Times New Roman" w:cs="Times New Roman" w:eastAsia="Times New Roman" w:hAnsi="Times New Roman"/>
                <w:sz w:val="18"/>
                <w:szCs w:val="18"/>
                <w:color w:val="auto"/>
                <w:w w:val="98"/>
              </w:rPr>
              <w:t>$4.45</w:t>
            </w:r>
          </w:p>
        </w:tc>
        <w:tc>
          <w:tcPr>
            <w:tcW w:w="500" w:type="dxa"/>
            <w:vAlign w:val="bottom"/>
          </w:tcPr>
          <w:p>
            <w:pPr>
              <w:spacing w:after="0"/>
              <w:rPr>
                <w:sz w:val="22"/>
                <w:szCs w:val="22"/>
                <w:color w:val="auto"/>
              </w:rPr>
            </w:pPr>
          </w:p>
        </w:tc>
        <w:tc>
          <w:tcPr>
            <w:tcW w:w="1040" w:type="dxa"/>
            <w:vAlign w:val="bottom"/>
            <w:tcBorders>
              <w:right w:val="single" w:sz="8" w:color="auto"/>
            </w:tcBorders>
            <w:gridSpan w:val="3"/>
          </w:tcPr>
          <w:p>
            <w:pPr>
              <w:jc w:val="center"/>
              <w:ind w:right="220"/>
              <w:spacing w:after="0"/>
              <w:rPr>
                <w:sz w:val="20"/>
                <w:szCs w:val="20"/>
                <w:color w:val="auto"/>
              </w:rPr>
            </w:pPr>
            <w:r>
              <w:rPr>
                <w:rFonts w:ascii="Times New Roman" w:cs="Times New Roman" w:eastAsia="Times New Roman" w:hAnsi="Times New Roman"/>
                <w:sz w:val="18"/>
                <w:szCs w:val="18"/>
                <w:color w:val="auto"/>
              </w:rPr>
              <w:t>$4.55</w:t>
            </w:r>
          </w:p>
        </w:tc>
        <w:tc>
          <w:tcPr>
            <w:tcW w:w="0" w:type="dxa"/>
            <w:vAlign w:val="bottom"/>
          </w:tcPr>
          <w:p>
            <w:pPr>
              <w:spacing w:after="0"/>
              <w:rPr>
                <w:sz w:val="1"/>
                <w:szCs w:val="1"/>
                <w:color w:val="auto"/>
              </w:rPr>
            </w:pPr>
          </w:p>
        </w:tc>
      </w:tr>
      <w:tr>
        <w:trPr>
          <w:trHeight w:val="275"/>
        </w:trPr>
        <w:tc>
          <w:tcPr>
            <w:tcW w:w="3600" w:type="dxa"/>
            <w:vAlign w:val="bottom"/>
            <w:tcBorders>
              <w:left w:val="single" w:sz="8" w:color="auto"/>
              <w:bottom w:val="single" w:sz="8" w:color="auto"/>
            </w:tcBorders>
          </w:tcPr>
          <w:p>
            <w:pPr>
              <w:ind w:left="120"/>
              <w:spacing w:after="0" w:line="276" w:lineRule="exact"/>
              <w:rPr>
                <w:sz w:val="20"/>
                <w:szCs w:val="20"/>
                <w:color w:val="auto"/>
              </w:rPr>
            </w:pPr>
            <w:r>
              <w:rPr>
                <w:rFonts w:ascii="Times New Roman" w:cs="Times New Roman" w:eastAsia="Times New Roman" w:hAnsi="Times New Roman"/>
                <w:sz w:val="18"/>
                <w:szCs w:val="18"/>
                <w:b w:val="1"/>
                <w:bCs w:val="1"/>
                <w:color w:val="auto"/>
              </w:rPr>
              <w:t>Free Cash Flow</w:t>
            </w:r>
            <w:r>
              <w:rPr>
                <w:rFonts w:ascii="Times New Roman" w:cs="Times New Roman" w:eastAsia="Times New Roman" w:hAnsi="Times New Roman"/>
                <w:sz w:val="29"/>
                <w:szCs w:val="29"/>
                <w:b w:val="1"/>
                <w:bCs w:val="1"/>
                <w:color w:val="auto"/>
                <w:vertAlign w:val="superscript"/>
              </w:rPr>
              <w:t>1</w:t>
            </w:r>
          </w:p>
        </w:tc>
        <w:tc>
          <w:tcPr>
            <w:tcW w:w="440" w:type="dxa"/>
            <w:vAlign w:val="bottom"/>
            <w:tcBorders>
              <w:bottom w:val="single" w:sz="8" w:color="auto"/>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500" w:type="dxa"/>
            <w:vAlign w:val="bottom"/>
            <w:tcBorders>
              <w:bottom w:val="single" w:sz="8" w:color="auto"/>
            </w:tcBorders>
          </w:tcPr>
          <w:p>
            <w:pPr>
              <w:spacing w:after="0"/>
              <w:rPr>
                <w:sz w:val="23"/>
                <w:szCs w:val="23"/>
                <w:color w:val="auto"/>
              </w:rPr>
            </w:pPr>
          </w:p>
        </w:tc>
        <w:tc>
          <w:tcPr>
            <w:tcW w:w="640" w:type="dxa"/>
            <w:vAlign w:val="bottom"/>
            <w:tcBorders>
              <w:bottom w:val="single" w:sz="8" w:color="auto"/>
            </w:tcBorders>
          </w:tcPr>
          <w:p>
            <w:pPr>
              <w:spacing w:after="0"/>
              <w:rPr>
                <w:sz w:val="23"/>
                <w:szCs w:val="23"/>
                <w:color w:val="auto"/>
              </w:rPr>
            </w:pPr>
          </w:p>
        </w:tc>
        <w:tc>
          <w:tcPr>
            <w:tcW w:w="480" w:type="dxa"/>
            <w:vAlign w:val="bottom"/>
            <w:tcBorders>
              <w:bottom w:val="single" w:sz="8" w:color="auto"/>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gridSpan w:val="3"/>
          </w:tcPr>
          <w:p>
            <w:pPr>
              <w:jc w:val="center"/>
              <w:ind w:left="111"/>
              <w:spacing w:after="0"/>
              <w:rPr>
                <w:sz w:val="20"/>
                <w:szCs w:val="20"/>
                <w:color w:val="auto"/>
              </w:rPr>
            </w:pPr>
            <w:r>
              <w:rPr>
                <w:rFonts w:ascii="Times New Roman" w:cs="Times New Roman" w:eastAsia="Times New Roman" w:hAnsi="Times New Roman"/>
                <w:sz w:val="18"/>
                <w:szCs w:val="18"/>
                <w:color w:val="auto"/>
              </w:rPr>
              <w:t>$1.550B</w:t>
            </w:r>
          </w:p>
        </w:tc>
        <w:tc>
          <w:tcPr>
            <w:tcW w:w="50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gridSpan w:val="2"/>
          </w:tcPr>
          <w:p>
            <w:pPr>
              <w:jc w:val="center"/>
              <w:ind w:right="480"/>
              <w:spacing w:after="0"/>
              <w:rPr>
                <w:sz w:val="20"/>
                <w:szCs w:val="20"/>
                <w:color w:val="auto"/>
              </w:rPr>
            </w:pPr>
            <w:r>
              <w:rPr>
                <w:rFonts w:ascii="Times New Roman" w:cs="Times New Roman" w:eastAsia="Times New Roman" w:hAnsi="Times New Roman"/>
                <w:sz w:val="18"/>
                <w:szCs w:val="18"/>
                <w:color w:val="auto"/>
              </w:rPr>
              <w:t>$1.600B</w:t>
            </w:r>
          </w:p>
        </w:tc>
        <w:tc>
          <w:tcPr>
            <w:tcW w:w="1040" w:type="dxa"/>
            <w:vAlign w:val="bottom"/>
            <w:tcBorders>
              <w:bottom w:val="single" w:sz="8" w:color="auto"/>
              <w:right w:val="single" w:sz="8" w:color="auto"/>
            </w:tcBorders>
            <w:gridSpan w:val="3"/>
          </w:tcPr>
          <w:p>
            <w:pPr>
              <w:jc w:val="center"/>
              <w:ind w:right="220"/>
              <w:spacing w:after="0"/>
              <w:rPr>
                <w:sz w:val="20"/>
                <w:szCs w:val="20"/>
                <w:color w:val="auto"/>
              </w:rPr>
            </w:pPr>
            <w:r>
              <w:rPr>
                <w:rFonts w:ascii="Times New Roman" w:cs="Times New Roman" w:eastAsia="Times New Roman" w:hAnsi="Times New Roman"/>
                <w:sz w:val="18"/>
                <w:szCs w:val="18"/>
                <w:color w:val="auto"/>
              </w:rPr>
              <w:t>$1.650B</w:t>
            </w: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Excluding Special Items</w:t>
      </w:r>
    </w:p>
    <w:p>
      <w:pPr>
        <w:spacing w:after="0" w:line="266" w:lineRule="exact"/>
        <w:rPr>
          <w:sz w:val="20"/>
          <w:szCs w:val="20"/>
          <w:color w:val="auto"/>
        </w:rPr>
      </w:pPr>
    </w:p>
    <w:p>
      <w:pPr>
        <w:ind w:right="60" w:firstLine="8"/>
        <w:spacing w:after="0" w:line="224" w:lineRule="auto"/>
        <w:tabs>
          <w:tab w:leader="none" w:pos="120" w:val="left"/>
        </w:tabs>
        <w:numPr>
          <w:ilvl w:val="0"/>
          <w:numId w:val="8"/>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Reconciliations of the forward-looking non-GAAP financial measures to the most directly comparable GAAP financial measures, as well as the directly comparable GAAP measures, are not available without unreasonable efforts due to the variability and complexity of the charges and other components excluded from the non-GAAP measures, such as gains or losses on sales of assets, taxes, and any future restructuring or impairment charges. In addition, there is inherent variability already included in the GAAP measures, including, but not limited to, price/mix and volume. Howmet Aerospace believes such reconciliations would imply a degree of precision that would be confusing or misleading to investors.</w:t>
      </w:r>
    </w:p>
    <w:p>
      <w:pPr>
        <w:spacing w:after="0" w:line="197" w:lineRule="exact"/>
        <w:rPr>
          <w:sz w:val="20"/>
          <w:szCs w:val="20"/>
          <w:color w:val="auto"/>
        </w:rPr>
      </w:pPr>
    </w:p>
    <w:p>
      <w:pPr>
        <w:ind w:right="60"/>
        <w:spacing w:after="0" w:line="268" w:lineRule="auto"/>
        <w:rPr>
          <w:sz w:val="20"/>
          <w:szCs w:val="20"/>
          <w:color w:val="auto"/>
        </w:rPr>
      </w:pPr>
      <w:r>
        <w:rPr>
          <w:rFonts w:ascii="Times New Roman" w:cs="Times New Roman" w:eastAsia="Times New Roman" w:hAnsi="Times New Roman"/>
          <w:sz w:val="18"/>
          <w:szCs w:val="18"/>
          <w:b w:val="1"/>
          <w:bCs w:val="1"/>
          <w:color w:val="auto"/>
        </w:rPr>
        <w:t>Howmet Aerospace will hold its quarterly conference call at 10:00 AM Eastern Time on Thursday, February 12, 2026. The call will be webcast via www.howmet.com. The press release and presentation materials will be available at approximately 7:00 AM ET on February 12, via the “Investors” section of the Howmet Aerospace website.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Howmet Aerospace</w:t>
      </w:r>
    </w:p>
    <w:p>
      <w:pPr>
        <w:spacing w:after="0" w:line="229" w:lineRule="exact"/>
        <w:rPr>
          <w:sz w:val="20"/>
          <w:szCs w:val="20"/>
          <w:color w:val="auto"/>
        </w:rPr>
      </w:pPr>
    </w:p>
    <w:p>
      <w:pPr>
        <w:ind w:right="280"/>
        <w:spacing w:after="0" w:line="258" w:lineRule="auto"/>
        <w:rPr>
          <w:sz w:val="20"/>
          <w:szCs w:val="20"/>
          <w:color w:val="auto"/>
        </w:rPr>
      </w:pPr>
      <w:r>
        <w:rPr>
          <w:rFonts w:ascii="Times New Roman" w:cs="Times New Roman" w:eastAsia="Times New Roman" w:hAnsi="Times New Roman"/>
          <w:sz w:val="18"/>
          <w:szCs w:val="18"/>
          <w:color w:val="auto"/>
        </w:rPr>
        <w:t xml:space="preserve">Howmet Aerospace Inc., headquartered in Pittsburgh, Pennsylvania, is a leading global provider of advanced engineered solutions for the aerospace and transportation industries. The Company’s primary businesses focus on jet engine components, aerospace fastening systems, and airframe structural components necessary for mission-critical performance and efficiency in aerospace and defense applications, as well as forged aluminum wheels for commercial transportation. With approximately 1,200 granted and pending patents, the Company’s differentiated technologies enable lighter, more fuel-efficient aircraft and commercial trucks to operate with a lower carbon footprint. For more information, visit </w:t>
      </w:r>
      <w:r>
        <w:rPr>
          <w:rFonts w:ascii="Times New Roman" w:cs="Times New Roman" w:eastAsia="Times New Roman" w:hAnsi="Times New Roman"/>
          <w:sz w:val="18"/>
          <w:szCs w:val="18"/>
          <w:u w:val="single" w:color="auto"/>
          <w:color w:val="auto"/>
        </w:rPr>
        <w:t>www.howmet.com</w:t>
      </w:r>
      <w:r>
        <w:rPr>
          <w:rFonts w:ascii="Times New Roman" w:cs="Times New Roman" w:eastAsia="Times New Roman" w:hAnsi="Times New Roman"/>
          <w:sz w:val="18"/>
          <w:szCs w:val="18"/>
          <w:color w:val="auto"/>
        </w:rPr>
        <w:t>.</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color w:val="auto"/>
        </w:rPr>
        <w:t>Dissemination of Company Information</w:t>
      </w:r>
    </w:p>
    <w:p>
      <w:pPr>
        <w:spacing w:after="0" w:line="229" w:lineRule="exact"/>
        <w:rPr>
          <w:sz w:val="20"/>
          <w:szCs w:val="20"/>
          <w:color w:val="auto"/>
        </w:rPr>
      </w:pPr>
    </w:p>
    <w:p>
      <w:pPr>
        <w:ind w:right="940"/>
        <w:spacing w:after="0" w:line="282" w:lineRule="auto"/>
        <w:rPr>
          <w:sz w:val="20"/>
          <w:szCs w:val="20"/>
          <w:color w:val="auto"/>
        </w:rPr>
      </w:pPr>
      <w:r>
        <w:rPr>
          <w:rFonts w:ascii="Times New Roman" w:cs="Times New Roman" w:eastAsia="Times New Roman" w:hAnsi="Times New Roman"/>
          <w:sz w:val="18"/>
          <w:szCs w:val="18"/>
          <w:color w:val="auto"/>
        </w:rPr>
        <w:t xml:space="preserve">Howmet Aerospace intends to make future announcements regarding Company developments and financial performance through its website at </w:t>
      </w:r>
      <w:r>
        <w:rPr>
          <w:rFonts w:ascii="Times New Roman" w:cs="Times New Roman" w:eastAsia="Times New Roman" w:hAnsi="Times New Roman"/>
          <w:sz w:val="18"/>
          <w:szCs w:val="18"/>
          <w:u w:val="single" w:color="auto"/>
          <w:color w:val="auto"/>
        </w:rPr>
        <w:t>www.howmet.com</w:t>
      </w:r>
      <w:r>
        <w:rPr>
          <w:rFonts w:ascii="Times New Roman" w:cs="Times New Roman" w:eastAsia="Times New Roman" w:hAnsi="Times New Roman"/>
          <w:sz w:val="18"/>
          <w:szCs w:val="18"/>
          <w:color w:val="auto"/>
        </w:rPr>
        <w:t>.</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This release contains statements that relate to future events and expectations and as such constitute forward-looking statements within the meaning of the Private Securities Litigation Reform Act of 1995. Forward-looking statements include those containing such words as "anticipates", "believes", "could", “envisions”, "estimates", "expects", "forecasts", "goal", "guidance", "intends", "may", "outlook", "plans", “poised”, "projects", "seeks", "sees", "should", "targets", "will", "would", or other words of similar meaning. All statements that reflect Howmet Aerospace’s expectations, assumptions or projections about the future, other than statements of historical fact, are forward-looking statements, including, without limitation, statements, forecasts and outlook relating to the condition of markets; future financial results or operating performance; future strategic actions; Howmet Aerospace's strategies, outlook, and business and financial prospects; and any future dividends, debt issuances, debt reduction and repurchases of its common stock; and statements regarding the planned acquisition of Consolidated Aerospace Manufacturing, LLC (CAM) and the expected benefits and timing of such planned acquisition. These statements reflect beliefs and assumptions that are based on Howmet Aerospace’s perception of historical trends, current conditions and expected future developments, as well as other factors Howmet Aerospace believes are appropriate in the circumstances. Forward-looking statements are not guarantees of future performance and are subject to risks, uncertainties and changes in circumstances that are difficult to predict, which could cause actual results to differ materially from those indicated by these statements. Such risks and uncertainties include, but are not limited to: (a) deterioration in global economic and financial market conditions generally, or unfavorable changes in the markets served by Howmet Aerospace, including due to escalating tariff and other trade policies and the resulting impacts on Howmet Aerospace’s supply and distribution chains, as well as on market volatility and global trade generally;</w:t>
      </w:r>
    </w:p>
    <w:p>
      <w:pPr>
        <w:spacing w:after="0" w:line="12" w:lineRule="exact"/>
        <w:rPr>
          <w:sz w:val="20"/>
          <w:szCs w:val="20"/>
          <w:color w:val="auto"/>
        </w:rPr>
      </w:pPr>
    </w:p>
    <w:p>
      <w:pPr>
        <w:ind w:right="20" w:firstLine="8"/>
        <w:spacing w:after="0" w:line="250" w:lineRule="auto"/>
        <w:tabs>
          <w:tab w:leader="none" w:pos="2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potential cyber attacks and information technology or data security breaches; (c) the loss of significant customers or adverse changes in customers’ business or financial conditions; (d) manufacturing difficulties or other issues that impact product performance, quality or safety; (e) inability of suppliers to meet obligations due to supply chain disruptions or otherwise; (f) failure to attract and retain a qualified workforce and key personnel, labor disputes or other employee relations issues; (g) the inability to achieve improvement in or strengthening of financial performance, operations or competitiveness anticipated or targeted; (h) inability to meet increased demand, production targets or commitments; (i) competition from new product offerings, disruptive technologies or other developments; (j) geopolitical, economic, and regulatory risks relating to Howmet Aerospace’s global operations, including geopolitical and diplomatic tensions, instabilities, conflicts and wars, as well as compliance with U.S. and foreign trade and tax laws, sanctions, embargoes and other regulations; (k) the outcome of contingencies, including legal proceedings, government or regulatory investigations, and environmental remediation; (l) failure to comply with government contracting regulations; (m) adverse changes in discount rates or investment returns on pension assets; (n) the ability to consummate and realize expected benefits of acquisitions, including the CAM acquisition, on the anticipated time frame or at all; and (o) the other risk factors summarized in Howmet Aerospace’s Form 10-K for the year ended December 31, 2024 and other reports filed with the U.S. Securities and Exchange Commission. Market projections are subject to the risks discussed above and other risks in the market. Under its share repurchase program, the Company may repurchase shares from time to time, in amounts, at prices, and at such times as the Company deems appropriate, subject to market conditions, legal requirements and other considerations. The Company is not obligated to repurchase any specific number of shares or to do so at any particular time. The declaration of any future dividends is subject to the discretion and approval of the Board of Directors after the Board’s consideration of all factors it deems relevant and subject to applicable law. The Company may modify, suspend, or cancel its share repurchase program or its dividend policy in any manner and at any time that it may deem necessary or appropriate. Credit ratings are not a recommendation to buy or hold any Howmet Aerospace securities, and they may be revised or revoked at any time at the sole discretion of the credit rating organizations. The statements in this release are made as of the date of this release, even if subsequently made available by Howmet Aerospace on its website or otherwise. Howmet Aerospace disclaims any intention or obligation to update publicly any forward-looking statements, whether in response to new information, future events, or otherwise, except as required by applicable law.</w:t>
      </w: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22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Some of the information included in this release is derived from Howmet Aerospace’s consolidated financial information but is not presented in Howmet Aerospace’s financial statements prepared in accordance with accounting principles generally accepted in the United States of America (GAAP). Certain of these data are considered “non-GAAP financial measures” under SEC rules. These non-GAAP financial measures supplement our GAAP disclosures and should not be considered an alternative to the GAAP measure. Reconciliations to the most directly comparable GAAP financial measures and management’s rationale for the use of the non-GAAP financial measures can be found in the schedules to this release.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Information</w:t>
      </w:r>
    </w:p>
    <w:p>
      <w:pPr>
        <w:spacing w:after="0" w:line="229"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In this press release, the acronym “FY” means “full year”; “Q” means “quarter”; “YoY” means year over year; “Adj.” means adjusted; Howmet, Howmet Aerospace, or the Company means Howmet Aerospace Inc.; and references to performance by Howmet Aerospace or its segments as “record” mean its best result since April 1, 2020 when Howmet Aerospace Inc. (previously named Arconic Inc.) separated from Arconic Corporation.</w:t>
      </w:r>
    </w:p>
    <w:p>
      <w:pPr>
        <w:spacing w:after="0" w:line="39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900" w:right="37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color w:val="auto"/>
        </w:rPr>
        <w:t>Howmet Aerospace Inc.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Statement of Consolidated Operations (unaudited)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 U.S. dollar millions, except per-share and share amounts)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8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Quarter ended</w:t>
            </w:r>
          </w:p>
        </w:tc>
        <w:tc>
          <w:tcPr>
            <w:tcW w:w="1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58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16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September 30, 2025</w:t>
            </w:r>
          </w:p>
        </w:tc>
        <w:tc>
          <w:tcPr>
            <w:tcW w:w="1560" w:type="dxa"/>
            <w:vAlign w:val="bottom"/>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w w:val="98"/>
              </w:rPr>
              <w:t>December 31, 2024</w:t>
            </w:r>
          </w:p>
        </w:tc>
        <w:tc>
          <w:tcPr>
            <w:tcW w:w="100" w:type="dxa"/>
            <w:vAlign w:val="bottom"/>
          </w:tcPr>
          <w:p>
            <w:pPr>
              <w:spacing w:after="0"/>
              <w:rPr>
                <w:sz w:val="19"/>
                <w:szCs w:val="19"/>
                <w:color w:val="auto"/>
              </w:rPr>
            </w:pPr>
          </w:p>
        </w:tc>
      </w:tr>
      <w:tr>
        <w:trPr>
          <w:trHeight w:val="209"/>
        </w:trPr>
        <w:tc>
          <w:tcPr>
            <w:tcW w:w="58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w:t>
            </w:r>
          </w:p>
        </w:tc>
        <w:tc>
          <w:tcPr>
            <w:tcW w:w="50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ind w:right="394"/>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2,168</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2,089</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1,891</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8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goods sold (exclusive of expenses below)</w:t>
            </w:r>
          </w:p>
        </w:tc>
        <w:tc>
          <w:tcPr>
            <w:tcW w:w="5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1,412</w:t>
            </w:r>
          </w:p>
        </w:tc>
        <w:tc>
          <w:tcPr>
            <w:tcW w:w="1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1,365</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1,289</w:t>
            </w:r>
          </w:p>
        </w:tc>
      </w:tr>
      <w:tr>
        <w:trPr>
          <w:trHeight w:val="216"/>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Selling, general administrative, and other expenses</w:t>
            </w:r>
          </w:p>
        </w:tc>
        <w:tc>
          <w:tcPr>
            <w:tcW w:w="5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96</w:t>
            </w:r>
          </w:p>
        </w:tc>
        <w:tc>
          <w:tcPr>
            <w:tcW w:w="120" w:type="dxa"/>
            <w:vAlign w:val="bottom"/>
          </w:tcPr>
          <w:p>
            <w:pPr>
              <w:spacing w:after="0"/>
              <w:rPr>
                <w:sz w:val="18"/>
                <w:szCs w:val="18"/>
                <w:color w:val="auto"/>
              </w:rPr>
            </w:pP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77</w:t>
            </w:r>
          </w:p>
        </w:tc>
      </w:tr>
      <w:tr>
        <w:trPr>
          <w:trHeight w:val="216"/>
        </w:trPr>
        <w:tc>
          <w:tcPr>
            <w:tcW w:w="5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5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w:t>
            </w:r>
          </w:p>
        </w:tc>
      </w:tr>
      <w:tr>
        <w:trPr>
          <w:trHeight w:val="216"/>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Provision for depreciation and amortization</w:t>
            </w:r>
          </w:p>
        </w:tc>
        <w:tc>
          <w:tcPr>
            <w:tcW w:w="5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73</w:t>
            </w:r>
          </w:p>
        </w:tc>
        <w:tc>
          <w:tcPr>
            <w:tcW w:w="120" w:type="dxa"/>
            <w:vAlign w:val="bottom"/>
          </w:tcPr>
          <w:p>
            <w:pPr>
              <w:spacing w:after="0"/>
              <w:rPr>
                <w:sz w:val="18"/>
                <w:szCs w:val="18"/>
                <w:color w:val="auto"/>
              </w:rPr>
            </w:pP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72</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73</w:t>
            </w:r>
          </w:p>
        </w:tc>
      </w:tr>
      <w:tr>
        <w:trPr>
          <w:trHeight w:val="229"/>
        </w:trPr>
        <w:tc>
          <w:tcPr>
            <w:tcW w:w="5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Restructuring and other charges</w:t>
            </w:r>
          </w:p>
        </w:tc>
        <w:tc>
          <w:tcPr>
            <w:tcW w:w="5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88</w:t>
            </w:r>
          </w:p>
        </w:tc>
        <w:tc>
          <w:tcPr>
            <w:tcW w:w="12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58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Operating income</w:t>
            </w:r>
          </w:p>
        </w:tc>
        <w:tc>
          <w:tcPr>
            <w:tcW w:w="500" w:type="dxa"/>
            <w:vAlign w:val="bottom"/>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489</w:t>
            </w: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445</w:t>
            </w:r>
          </w:p>
        </w:tc>
        <w:tc>
          <w:tcPr>
            <w:tcW w:w="100" w:type="dxa"/>
            <w:vAlign w:val="bottom"/>
          </w:tcPr>
          <w:p>
            <w:pPr>
              <w:spacing w:after="0"/>
              <w:rPr>
                <w:sz w:val="18"/>
                <w:szCs w:val="18"/>
                <w:color w:val="auto"/>
              </w:rPr>
            </w:pPr>
          </w:p>
        </w:tc>
      </w:tr>
      <w:tr>
        <w:trPr>
          <w:trHeight w:val="216"/>
        </w:trPr>
        <w:tc>
          <w:tcPr>
            <w:tcW w:w="58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Loss on debt redemption</w:t>
            </w:r>
          </w:p>
        </w:tc>
        <w:tc>
          <w:tcPr>
            <w:tcW w:w="5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tcPr>
          <w:p>
            <w:pPr>
              <w:spacing w:after="0"/>
              <w:rPr>
                <w:sz w:val="18"/>
                <w:szCs w:val="18"/>
                <w:color w:val="auto"/>
              </w:rPr>
            </w:pP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5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37</w:t>
            </w:r>
          </w:p>
        </w:tc>
        <w:tc>
          <w:tcPr>
            <w:tcW w:w="1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40</w:t>
            </w:r>
          </w:p>
        </w:tc>
      </w:tr>
      <w:tr>
        <w:trPr>
          <w:trHeight w:val="230"/>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Other expense, net</w:t>
            </w:r>
          </w:p>
        </w:tc>
        <w:tc>
          <w:tcPr>
            <w:tcW w:w="5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tcPr>
          <w:p>
            <w:pPr>
              <w:spacing w:after="0"/>
              <w:rPr>
                <w:sz w:val="19"/>
                <w:szCs w:val="19"/>
                <w:color w:val="auto"/>
              </w:rPr>
            </w:pP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w:t>
            </w:r>
          </w:p>
        </w:tc>
      </w:tr>
      <w:tr>
        <w:trPr>
          <w:trHeight w:val="209"/>
        </w:trPr>
        <w:tc>
          <w:tcPr>
            <w:tcW w:w="58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5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430</w:t>
            </w:r>
          </w:p>
        </w:tc>
        <w:tc>
          <w:tcPr>
            <w:tcW w:w="120" w:type="dxa"/>
            <w:vAlign w:val="bottom"/>
          </w:tcPr>
          <w:p>
            <w:pPr>
              <w:spacing w:after="0"/>
              <w:rPr>
                <w:sz w:val="18"/>
                <w:szCs w:val="18"/>
                <w:color w:val="auto"/>
              </w:rPr>
            </w:pP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495</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392</w:t>
            </w:r>
          </w:p>
        </w:tc>
      </w:tr>
      <w:tr>
        <w:trPr>
          <w:trHeight w:val="230"/>
        </w:trPr>
        <w:tc>
          <w:tcPr>
            <w:tcW w:w="5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5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58</w:t>
            </w:r>
          </w:p>
        </w:tc>
        <w:tc>
          <w:tcPr>
            <w:tcW w:w="12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110</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78</w:t>
            </w:r>
          </w:p>
        </w:tc>
      </w:tr>
      <w:tr>
        <w:trPr>
          <w:trHeight w:val="263"/>
        </w:trPr>
        <w:tc>
          <w:tcPr>
            <w:tcW w:w="58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Net income</w:t>
            </w:r>
          </w:p>
        </w:tc>
        <w:tc>
          <w:tcPr>
            <w:tcW w:w="500" w:type="dxa"/>
            <w:vAlign w:val="bottom"/>
            <w:tcBorders>
              <w:bottom w:val="single" w:sz="8" w:color="CCEEFF"/>
            </w:tcBorders>
          </w:tcPr>
          <w:p>
            <w:pPr>
              <w:spacing w:after="0"/>
              <w:rPr>
                <w:sz w:val="22"/>
                <w:szCs w:val="22"/>
                <w:color w:val="auto"/>
              </w:rPr>
            </w:pPr>
          </w:p>
        </w:tc>
        <w:tc>
          <w:tcPr>
            <w:tcW w:w="560" w:type="dxa"/>
            <w:vAlign w:val="bottom"/>
            <w:tcBorders>
              <w:top w:val="single" w:sz="8" w:color="auto"/>
              <w:bottom w:val="single" w:sz="8" w:color="auto"/>
            </w:tcBorders>
          </w:tcPr>
          <w:p>
            <w:pPr>
              <w:jc w:val="right"/>
              <w:ind w:right="394"/>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372</w:t>
            </w:r>
          </w:p>
        </w:tc>
        <w:tc>
          <w:tcPr>
            <w:tcW w:w="220" w:type="dxa"/>
            <w:vAlign w:val="bottom"/>
            <w:tcBorders>
              <w:bottom w:val="single" w:sz="8" w:color="CCEEFF"/>
            </w:tcBorders>
          </w:tcPr>
          <w:p>
            <w:pPr>
              <w:spacing w:after="0"/>
              <w:rPr>
                <w:sz w:val="22"/>
                <w:szCs w:val="22"/>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385</w:t>
            </w:r>
          </w:p>
        </w:tc>
        <w:tc>
          <w:tcPr>
            <w:tcW w:w="10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5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314</w:t>
            </w:r>
          </w:p>
        </w:tc>
        <w:tc>
          <w:tcPr>
            <w:tcW w:w="100" w:type="dxa"/>
            <w:vAlign w:val="bottom"/>
            <w:tcBorders>
              <w:bottom w:val="single" w:sz="8" w:color="CCEEFF"/>
            </w:tcBorders>
          </w:tcPr>
          <w:p>
            <w:pPr>
              <w:spacing w:after="0"/>
              <w:rPr>
                <w:sz w:val="22"/>
                <w:szCs w:val="22"/>
                <w:color w:val="auto"/>
              </w:rPr>
            </w:pPr>
          </w:p>
        </w:tc>
      </w:tr>
      <w:tr>
        <w:trPr>
          <w:trHeight w:val="197"/>
        </w:trPr>
        <w:tc>
          <w:tcPr>
            <w:tcW w:w="58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5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Amounts Attributable to Howmet Aerospace Common Shareholders:</w:t>
            </w:r>
          </w:p>
        </w:tc>
        <w:tc>
          <w:tcPr>
            <w:tcW w:w="5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57"/>
        </w:trPr>
        <w:tc>
          <w:tcPr>
            <w:tcW w:w="5820" w:type="dxa"/>
            <w:vAlign w:val="bottom"/>
            <w:shd w:val="clear" w:color="auto" w:fill="CCEEFF"/>
          </w:tcPr>
          <w:p>
            <w:pPr>
              <w:ind w:left="180"/>
              <w:spacing w:after="0" w:line="256" w:lineRule="exact"/>
              <w:rPr>
                <w:sz w:val="20"/>
                <w:szCs w:val="20"/>
                <w:color w:val="auto"/>
              </w:rPr>
            </w:pPr>
            <w:r>
              <w:rPr>
                <w:rFonts w:ascii="Times New Roman" w:cs="Times New Roman" w:eastAsia="Times New Roman" w:hAnsi="Times New Roman"/>
                <w:sz w:val="18"/>
                <w:szCs w:val="18"/>
                <w:color w:val="auto"/>
              </w:rPr>
              <w:t>Earnings per share - basic</w:t>
            </w: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w:t>
            </w:r>
          </w:p>
        </w:tc>
        <w:tc>
          <w:tcPr>
            <w:tcW w:w="50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3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r>
      <w:tr>
        <w:trPr>
          <w:trHeight w:val="216"/>
        </w:trPr>
        <w:tc>
          <w:tcPr>
            <w:tcW w:w="58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Net income per share</w:t>
            </w:r>
          </w:p>
        </w:tc>
        <w:tc>
          <w:tcPr>
            <w:tcW w:w="1060" w:type="dxa"/>
            <w:vAlign w:val="bottom"/>
            <w:gridSpan w:val="2"/>
          </w:tcPr>
          <w:p>
            <w:pPr>
              <w:jc w:val="right"/>
              <w:ind w:right="394"/>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0.92</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0.96</w:t>
            </w:r>
          </w:p>
        </w:tc>
        <w:tc>
          <w:tcPr>
            <w:tcW w:w="6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0.77</w:t>
            </w:r>
          </w:p>
        </w:tc>
      </w:tr>
      <w:tr>
        <w:trPr>
          <w:trHeight w:val="257"/>
        </w:trPr>
        <w:tc>
          <w:tcPr>
            <w:tcW w:w="5820" w:type="dxa"/>
            <w:vAlign w:val="bottom"/>
            <w:shd w:val="clear" w:color="auto" w:fill="CCEEFF"/>
          </w:tcPr>
          <w:p>
            <w:pPr>
              <w:ind w:left="340"/>
              <w:spacing w:after="0" w:line="256" w:lineRule="exact"/>
              <w:rPr>
                <w:sz w:val="20"/>
                <w:szCs w:val="20"/>
                <w:color w:val="auto"/>
              </w:rPr>
            </w:pPr>
            <w:r>
              <w:rPr>
                <w:rFonts w:ascii="Times New Roman" w:cs="Times New Roman" w:eastAsia="Times New Roman" w:hAnsi="Times New Roman"/>
                <w:sz w:val="18"/>
                <w:szCs w:val="18"/>
                <w:color w:val="auto"/>
              </w:rPr>
              <w:t>Average number of shares</w:t>
            </w:r>
            <w:r>
              <w:rPr>
                <w:rFonts w:ascii="Times New Roman" w:cs="Times New Roman" w:eastAsia="Times New Roman" w:hAnsi="Times New Roman"/>
                <w:sz w:val="29"/>
                <w:szCs w:val="29"/>
                <w:color w:val="auto"/>
                <w:vertAlign w:val="superscript"/>
              </w:rPr>
              <w:t>(2)(3)</w:t>
            </w:r>
          </w:p>
        </w:tc>
        <w:tc>
          <w:tcPr>
            <w:tcW w:w="50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402</w:t>
            </w:r>
          </w:p>
        </w:tc>
        <w:tc>
          <w:tcPr>
            <w:tcW w:w="120" w:type="dxa"/>
            <w:vAlign w:val="bottom"/>
            <w:shd w:val="clear" w:color="auto" w:fill="CCEEFF"/>
          </w:tcPr>
          <w:p>
            <w:pPr>
              <w:spacing w:after="0"/>
              <w:rPr>
                <w:sz w:val="22"/>
                <w:szCs w:val="22"/>
                <w:color w:val="auto"/>
              </w:rPr>
            </w:pPr>
          </w:p>
        </w:tc>
        <w:tc>
          <w:tcPr>
            <w:tcW w:w="14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403</w:t>
            </w:r>
          </w:p>
        </w:tc>
        <w:tc>
          <w:tcPr>
            <w:tcW w:w="10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406</w:t>
            </w:r>
          </w:p>
        </w:tc>
      </w:tr>
      <w:tr>
        <w:trPr>
          <w:trHeight w:val="216"/>
        </w:trPr>
        <w:tc>
          <w:tcPr>
            <w:tcW w:w="58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57"/>
        </w:trPr>
        <w:tc>
          <w:tcPr>
            <w:tcW w:w="5820" w:type="dxa"/>
            <w:vAlign w:val="bottom"/>
            <w:shd w:val="clear" w:color="auto" w:fill="CCEEFF"/>
          </w:tcPr>
          <w:p>
            <w:pPr>
              <w:ind w:left="180"/>
              <w:spacing w:after="0" w:line="256" w:lineRule="exact"/>
              <w:rPr>
                <w:sz w:val="20"/>
                <w:szCs w:val="20"/>
                <w:color w:val="auto"/>
              </w:rPr>
            </w:pPr>
            <w:r>
              <w:rPr>
                <w:rFonts w:ascii="Times New Roman" w:cs="Times New Roman" w:eastAsia="Times New Roman" w:hAnsi="Times New Roman"/>
                <w:sz w:val="18"/>
                <w:szCs w:val="18"/>
                <w:color w:val="auto"/>
              </w:rPr>
              <w:t>Earnings per share - diluted</w:t>
            </w: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w:t>
            </w:r>
          </w:p>
        </w:tc>
        <w:tc>
          <w:tcPr>
            <w:tcW w:w="50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3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r>
      <w:tr>
        <w:trPr>
          <w:trHeight w:val="216"/>
        </w:trPr>
        <w:tc>
          <w:tcPr>
            <w:tcW w:w="58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Net income per share</w:t>
            </w:r>
          </w:p>
        </w:tc>
        <w:tc>
          <w:tcPr>
            <w:tcW w:w="1060" w:type="dxa"/>
            <w:vAlign w:val="bottom"/>
            <w:gridSpan w:val="2"/>
          </w:tcPr>
          <w:p>
            <w:pPr>
              <w:jc w:val="right"/>
              <w:ind w:right="394"/>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0.92</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0.95</w:t>
            </w:r>
          </w:p>
        </w:tc>
        <w:tc>
          <w:tcPr>
            <w:tcW w:w="6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0.77</w:t>
            </w:r>
          </w:p>
        </w:tc>
      </w:tr>
      <w:tr>
        <w:trPr>
          <w:trHeight w:val="256"/>
        </w:trPr>
        <w:tc>
          <w:tcPr>
            <w:tcW w:w="5820" w:type="dxa"/>
            <w:vAlign w:val="bottom"/>
            <w:shd w:val="clear" w:color="auto" w:fill="CCEEFF"/>
          </w:tcPr>
          <w:p>
            <w:pPr>
              <w:ind w:left="340"/>
              <w:spacing w:after="0" w:line="256" w:lineRule="exact"/>
              <w:rPr>
                <w:sz w:val="20"/>
                <w:szCs w:val="20"/>
                <w:color w:val="auto"/>
              </w:rPr>
            </w:pPr>
            <w:r>
              <w:rPr>
                <w:rFonts w:ascii="Times New Roman" w:cs="Times New Roman" w:eastAsia="Times New Roman" w:hAnsi="Times New Roman"/>
                <w:sz w:val="18"/>
                <w:szCs w:val="18"/>
                <w:color w:val="auto"/>
              </w:rPr>
              <w:t>Average number of shares</w:t>
            </w:r>
            <w:r>
              <w:rPr>
                <w:rFonts w:ascii="Times New Roman" w:cs="Times New Roman" w:eastAsia="Times New Roman" w:hAnsi="Times New Roman"/>
                <w:sz w:val="29"/>
                <w:szCs w:val="29"/>
                <w:color w:val="auto"/>
                <w:vertAlign w:val="superscript"/>
              </w:rPr>
              <w:t>(2)(3)</w:t>
            </w:r>
          </w:p>
        </w:tc>
        <w:tc>
          <w:tcPr>
            <w:tcW w:w="50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404</w:t>
            </w:r>
          </w:p>
        </w:tc>
        <w:tc>
          <w:tcPr>
            <w:tcW w:w="120" w:type="dxa"/>
            <w:vAlign w:val="bottom"/>
            <w:shd w:val="clear" w:color="auto" w:fill="CCEEFF"/>
          </w:tcPr>
          <w:p>
            <w:pPr>
              <w:spacing w:after="0"/>
              <w:rPr>
                <w:sz w:val="22"/>
                <w:szCs w:val="22"/>
                <w:color w:val="auto"/>
              </w:rPr>
            </w:pPr>
          </w:p>
        </w:tc>
        <w:tc>
          <w:tcPr>
            <w:tcW w:w="14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405</w:t>
            </w:r>
          </w:p>
        </w:tc>
        <w:tc>
          <w:tcPr>
            <w:tcW w:w="10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408</w:t>
            </w:r>
          </w:p>
        </w:tc>
      </w:tr>
      <w:tr>
        <w:trPr>
          <w:trHeight w:val="216"/>
        </w:trPr>
        <w:tc>
          <w:tcPr>
            <w:tcW w:w="58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8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Common stock outstanding at the end of the period</w:t>
            </w:r>
          </w:p>
        </w:tc>
        <w:tc>
          <w:tcPr>
            <w:tcW w:w="5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402</w:t>
            </w:r>
          </w:p>
        </w:tc>
        <w:tc>
          <w:tcPr>
            <w:tcW w:w="1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403</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405</w:t>
            </w:r>
          </w:p>
        </w:tc>
      </w:tr>
    </w:tbl>
    <w:p>
      <w:pPr>
        <w:spacing w:after="0" w:line="198" w:lineRule="exact"/>
        <w:rPr>
          <w:sz w:val="20"/>
          <w:szCs w:val="20"/>
          <w:color w:val="auto"/>
        </w:rPr>
      </w:pPr>
    </w:p>
    <w:p>
      <w:pPr>
        <w:ind w:left="500" w:right="200" w:hanging="492"/>
        <w:spacing w:after="0" w:line="195" w:lineRule="auto"/>
        <w:tabs>
          <w:tab w:leader="none" w:pos="500" w:val="left"/>
        </w:tabs>
        <w:numPr>
          <w:ilvl w:val="0"/>
          <w:numId w:val="10"/>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In order to calculate both basic and diluted earnings per share, preferred stock dividends declared of less than $1 for the quarters presented need to be subtracted from Net income.</w:t>
      </w:r>
    </w:p>
    <w:p>
      <w:pPr>
        <w:spacing w:after="0" w:line="199" w:lineRule="exact"/>
        <w:rPr>
          <w:rFonts w:ascii="Times New Roman" w:cs="Times New Roman" w:eastAsia="Times New Roman" w:hAnsi="Times New Roman"/>
          <w:sz w:val="30"/>
          <w:szCs w:val="30"/>
          <w:color w:val="auto"/>
          <w:vertAlign w:val="superscript"/>
        </w:rPr>
      </w:pPr>
    </w:p>
    <w:p>
      <w:pPr>
        <w:ind w:left="500" w:right="460" w:hanging="492"/>
        <w:spacing w:after="0" w:line="195" w:lineRule="auto"/>
        <w:tabs>
          <w:tab w:leader="none" w:pos="500" w:val="left"/>
        </w:tabs>
        <w:numPr>
          <w:ilvl w:val="0"/>
          <w:numId w:val="10"/>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For the quarters presented, the difference between the diluted average number of shares and the basic average number of shares relates to share equivalents associated with outstanding restricted stock unit awards and employee stock options.</w:t>
      </w:r>
    </w:p>
    <w:p>
      <w:pPr>
        <w:spacing w:after="0" w:line="199" w:lineRule="exact"/>
        <w:rPr>
          <w:rFonts w:ascii="Times New Roman" w:cs="Times New Roman" w:eastAsia="Times New Roman" w:hAnsi="Times New Roman"/>
          <w:sz w:val="30"/>
          <w:szCs w:val="30"/>
          <w:color w:val="auto"/>
          <w:vertAlign w:val="superscript"/>
        </w:rPr>
      </w:pPr>
    </w:p>
    <w:p>
      <w:pPr>
        <w:ind w:left="500" w:right="360" w:hanging="492"/>
        <w:spacing w:after="0" w:line="195" w:lineRule="auto"/>
        <w:tabs>
          <w:tab w:leader="none" w:pos="500" w:val="left"/>
        </w:tabs>
        <w:numPr>
          <w:ilvl w:val="0"/>
          <w:numId w:val="10"/>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As average shares outstanding are used in the calculation of both basic and diluted earnings per share, the full impact of share repurchases is not fully realized in earnings per share ("EPS") in the period of repurchase since share repurchases may occur at varying points during a period.</w:t>
      </w: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color w:val="auto"/>
        </w:rPr>
        <w:t>Howmet Aerospace Inc.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Statement of Consolidated Operations (unaudited)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 U.S. dollar millions, except per-share and share amounts)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0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For the year ended December 31,</w:t>
            </w:r>
          </w:p>
        </w:tc>
        <w:tc>
          <w:tcPr>
            <w:tcW w:w="3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20"/>
                <w:szCs w:val="20"/>
                <w:color w:val="auto"/>
              </w:rPr>
            </w:pPr>
          </w:p>
        </w:tc>
      </w:tr>
      <w:tr>
        <w:trPr>
          <w:trHeight w:val="209"/>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8,252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7,430</w:t>
            </w: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Cost of goods sold (exclusive of expenses below)</w:t>
            </w: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5,432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5,119</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general administrative, and other expenses</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370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347</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for depreciation and amortization</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283</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277</w:t>
            </w:r>
          </w:p>
        </w:tc>
      </w:tr>
      <w:tr>
        <w:trPr>
          <w:trHeight w:val="230"/>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Restructuring and other charges</w:t>
            </w:r>
          </w:p>
        </w:tc>
        <w:tc>
          <w:tcPr>
            <w:tcW w:w="320" w:type="dxa"/>
            <w:vAlign w:val="bottom"/>
          </w:tcPr>
          <w:p>
            <w:pPr>
              <w:spacing w:after="0"/>
              <w:rPr>
                <w:sz w:val="19"/>
                <w:szCs w:val="19"/>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w:t>
            </w:r>
          </w:p>
        </w:tc>
      </w:tr>
      <w:tr>
        <w:trPr>
          <w:trHeight w:val="209"/>
        </w:trPr>
        <w:tc>
          <w:tcPr>
            <w:tcW w:w="800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income</w:t>
            </w:r>
          </w:p>
        </w:tc>
        <w:tc>
          <w:tcPr>
            <w:tcW w:w="3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2,046</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1,633</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Loss on debt redemption</w:t>
            </w: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151</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182</w:t>
            </w:r>
          </w:p>
        </w:tc>
      </w:tr>
      <w:tr>
        <w:trPr>
          <w:trHeight w:val="230"/>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Other expense, net</w:t>
            </w:r>
          </w:p>
        </w:tc>
        <w:tc>
          <w:tcPr>
            <w:tcW w:w="320" w:type="dxa"/>
            <w:vAlign w:val="bottom"/>
          </w:tcPr>
          <w:p>
            <w:pPr>
              <w:spacing w:after="0"/>
              <w:rPr>
                <w:sz w:val="19"/>
                <w:szCs w:val="19"/>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62</w:t>
            </w:r>
          </w:p>
        </w:tc>
      </w:tr>
      <w:tr>
        <w:trPr>
          <w:trHeight w:val="209"/>
        </w:trPr>
        <w:tc>
          <w:tcPr>
            <w:tcW w:w="80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3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1,840</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1,383</w:t>
            </w:r>
          </w:p>
        </w:tc>
        <w:tc>
          <w:tcPr>
            <w:tcW w:w="100" w:type="dxa"/>
            <w:vAlign w:val="bottom"/>
            <w:tcBorders>
              <w:top w:val="single" w:sz="8" w:color="CCEEFF"/>
            </w:tcBorders>
            <w:shd w:val="clear" w:color="auto" w:fill="CCEEFF"/>
          </w:tcPr>
          <w:p>
            <w:pPr>
              <w:spacing w:after="0"/>
              <w:rPr>
                <w:sz w:val="18"/>
                <w:szCs w:val="18"/>
                <w:color w:val="auto"/>
              </w:rPr>
            </w:pPr>
          </w:p>
        </w:tc>
      </w:tr>
      <w:tr>
        <w:trPr>
          <w:trHeight w:val="229"/>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20" w:type="dxa"/>
            <w:vAlign w:val="bottom"/>
          </w:tcPr>
          <w:p>
            <w:pPr>
              <w:spacing w:after="0"/>
              <w:rPr>
                <w:sz w:val="19"/>
                <w:szCs w:val="19"/>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228</w:t>
            </w:r>
          </w:p>
        </w:tc>
      </w:tr>
      <w:tr>
        <w:trPr>
          <w:trHeight w:val="223"/>
        </w:trPr>
        <w:tc>
          <w:tcPr>
            <w:tcW w:w="80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80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80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Amounts Attributable to Howmet Aerospace Common Shareholders:</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57"/>
        </w:trPr>
        <w:tc>
          <w:tcPr>
            <w:tcW w:w="8000" w:type="dxa"/>
            <w:vAlign w:val="bottom"/>
          </w:tcPr>
          <w:p>
            <w:pPr>
              <w:ind w:left="180"/>
              <w:spacing w:after="0" w:line="256" w:lineRule="exact"/>
              <w:rPr>
                <w:sz w:val="20"/>
                <w:szCs w:val="20"/>
                <w:color w:val="auto"/>
              </w:rPr>
            </w:pPr>
            <w:r>
              <w:rPr>
                <w:rFonts w:ascii="Times New Roman" w:cs="Times New Roman" w:eastAsia="Times New Roman" w:hAnsi="Times New Roman"/>
                <w:sz w:val="18"/>
                <w:szCs w:val="18"/>
                <w:color w:val="auto"/>
              </w:rPr>
              <w:t>Earnings per share - basic</w:t>
            </w:r>
            <w:r>
              <w:rPr>
                <w:rFonts w:ascii="Times New Roman" w:cs="Times New Roman" w:eastAsia="Times New Roman" w:hAnsi="Times New Roman"/>
                <w:sz w:val="29"/>
                <w:szCs w:val="29"/>
                <w:color w:val="auto"/>
                <w:vertAlign w:val="superscript"/>
              </w:rPr>
              <w:t>(1)(2)</w:t>
            </w:r>
            <w:r>
              <w:rPr>
                <w:rFonts w:ascii="Times New Roman" w:cs="Times New Roman" w:eastAsia="Times New Roman" w:hAnsi="Times New Roman"/>
                <w:sz w:val="18"/>
                <w:szCs w:val="18"/>
                <w:color w:val="auto"/>
              </w:rPr>
              <w:t>:</w:t>
            </w:r>
          </w:p>
        </w:tc>
        <w:tc>
          <w:tcPr>
            <w:tcW w:w="3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16"/>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income per share</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3.73</w:t>
            </w:r>
          </w:p>
        </w:tc>
        <w:tc>
          <w:tcPr>
            <w:tcW w:w="42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2.83</w:t>
            </w:r>
          </w:p>
        </w:tc>
      </w:tr>
      <w:tr>
        <w:trPr>
          <w:trHeight w:val="257"/>
        </w:trPr>
        <w:tc>
          <w:tcPr>
            <w:tcW w:w="8000" w:type="dxa"/>
            <w:vAlign w:val="bottom"/>
          </w:tcPr>
          <w:p>
            <w:pPr>
              <w:ind w:left="340"/>
              <w:spacing w:after="0" w:line="256" w:lineRule="exact"/>
              <w:rPr>
                <w:sz w:val="20"/>
                <w:szCs w:val="20"/>
                <w:color w:val="auto"/>
              </w:rPr>
            </w:pPr>
            <w:r>
              <w:rPr>
                <w:rFonts w:ascii="Times New Roman" w:cs="Times New Roman" w:eastAsia="Times New Roman" w:hAnsi="Times New Roman"/>
                <w:sz w:val="18"/>
                <w:szCs w:val="18"/>
                <w:color w:val="auto"/>
              </w:rPr>
              <w:t>Average number of shares</w:t>
            </w:r>
            <w:r>
              <w:rPr>
                <w:rFonts w:ascii="Times New Roman" w:cs="Times New Roman" w:eastAsia="Times New Roman" w:hAnsi="Times New Roman"/>
                <w:sz w:val="29"/>
                <w:szCs w:val="29"/>
                <w:color w:val="auto"/>
                <w:vertAlign w:val="superscript"/>
              </w:rPr>
              <w:t>(3)</w:t>
            </w:r>
          </w:p>
        </w:tc>
        <w:tc>
          <w:tcPr>
            <w:tcW w:w="320" w:type="dxa"/>
            <w:vAlign w:val="bottom"/>
          </w:tcPr>
          <w:p>
            <w:pPr>
              <w:spacing w:after="0"/>
              <w:rPr>
                <w:sz w:val="22"/>
                <w:szCs w:val="22"/>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404</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408</w:t>
            </w:r>
          </w:p>
        </w:tc>
      </w:tr>
      <w:tr>
        <w:trPr>
          <w:trHeight w:val="257"/>
        </w:trPr>
        <w:tc>
          <w:tcPr>
            <w:tcW w:w="8000" w:type="dxa"/>
            <w:vAlign w:val="bottom"/>
            <w:shd w:val="clear" w:color="auto" w:fill="CCEEFF"/>
          </w:tcPr>
          <w:p>
            <w:pPr>
              <w:ind w:left="180"/>
              <w:spacing w:after="0" w:line="256" w:lineRule="exact"/>
              <w:rPr>
                <w:sz w:val="20"/>
                <w:szCs w:val="20"/>
                <w:color w:val="auto"/>
              </w:rPr>
            </w:pPr>
            <w:r>
              <w:rPr>
                <w:rFonts w:ascii="Times New Roman" w:cs="Times New Roman" w:eastAsia="Times New Roman" w:hAnsi="Times New Roman"/>
                <w:sz w:val="18"/>
                <w:szCs w:val="18"/>
                <w:color w:val="auto"/>
              </w:rPr>
              <w:t>Earnings per share - diluted</w:t>
            </w:r>
            <w:r>
              <w:rPr>
                <w:rFonts w:ascii="Times New Roman" w:cs="Times New Roman" w:eastAsia="Times New Roman" w:hAnsi="Times New Roman"/>
                <w:sz w:val="29"/>
                <w:szCs w:val="29"/>
                <w:color w:val="auto"/>
                <w:vertAlign w:val="superscript"/>
              </w:rPr>
              <w:t>(1)(2)</w:t>
            </w: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r>
      <w:tr>
        <w:trPr>
          <w:trHeight w:val="216"/>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Net income per share</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3.71</w:t>
            </w:r>
          </w:p>
        </w:tc>
        <w:tc>
          <w:tcPr>
            <w:tcW w:w="42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2.81</w:t>
            </w:r>
          </w:p>
        </w:tc>
      </w:tr>
      <w:tr>
        <w:trPr>
          <w:trHeight w:val="257"/>
        </w:trPr>
        <w:tc>
          <w:tcPr>
            <w:tcW w:w="8000" w:type="dxa"/>
            <w:vAlign w:val="bottom"/>
            <w:shd w:val="clear" w:color="auto" w:fill="CCEEFF"/>
          </w:tcPr>
          <w:p>
            <w:pPr>
              <w:ind w:left="340"/>
              <w:spacing w:after="0" w:line="256" w:lineRule="exact"/>
              <w:rPr>
                <w:sz w:val="20"/>
                <w:szCs w:val="20"/>
                <w:color w:val="auto"/>
              </w:rPr>
            </w:pPr>
            <w:r>
              <w:rPr>
                <w:rFonts w:ascii="Times New Roman" w:cs="Times New Roman" w:eastAsia="Times New Roman" w:hAnsi="Times New Roman"/>
                <w:sz w:val="18"/>
                <w:szCs w:val="18"/>
                <w:color w:val="auto"/>
              </w:rPr>
              <w:t>Average number of shares</w:t>
            </w:r>
            <w:r>
              <w:rPr>
                <w:rFonts w:ascii="Times New Roman" w:cs="Times New Roman" w:eastAsia="Times New Roman" w:hAnsi="Times New Roman"/>
                <w:sz w:val="29"/>
                <w:szCs w:val="29"/>
                <w:color w:val="auto"/>
                <w:vertAlign w:val="superscript"/>
              </w:rPr>
              <w:t>(3)</w:t>
            </w:r>
          </w:p>
        </w:tc>
        <w:tc>
          <w:tcPr>
            <w:tcW w:w="320" w:type="dxa"/>
            <w:vAlign w:val="bottom"/>
            <w:shd w:val="clear" w:color="auto" w:fill="CCEEFF"/>
          </w:tcPr>
          <w:p>
            <w:pPr>
              <w:spacing w:after="0"/>
              <w:rPr>
                <w:sz w:val="22"/>
                <w:szCs w:val="22"/>
                <w:color w:val="auto"/>
              </w:rPr>
            </w:pP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406</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410</w:t>
            </w:r>
          </w:p>
        </w:tc>
      </w:tr>
    </w:tbl>
    <w:p>
      <w:pPr>
        <w:spacing w:after="0" w:line="198" w:lineRule="exact"/>
        <w:rPr>
          <w:sz w:val="20"/>
          <w:szCs w:val="20"/>
          <w:color w:val="auto"/>
        </w:rPr>
      </w:pPr>
    </w:p>
    <w:p>
      <w:pPr>
        <w:ind w:left="660" w:right="220" w:hanging="652"/>
        <w:spacing w:after="0" w:line="195" w:lineRule="auto"/>
        <w:tabs>
          <w:tab w:leader="none" w:pos="660" w:val="left"/>
        </w:tabs>
        <w:numPr>
          <w:ilvl w:val="0"/>
          <w:numId w:val="11"/>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In order to calculate both basic and diluted EPS, preferred stock dividends declared of $2 for the years presented need to be subtracted from Net income.</w:t>
      </w:r>
    </w:p>
    <w:p>
      <w:pPr>
        <w:spacing w:after="0" w:line="199" w:lineRule="exact"/>
        <w:rPr>
          <w:rFonts w:ascii="Times New Roman" w:cs="Times New Roman" w:eastAsia="Times New Roman" w:hAnsi="Times New Roman"/>
          <w:sz w:val="30"/>
          <w:szCs w:val="30"/>
          <w:color w:val="auto"/>
          <w:vertAlign w:val="superscript"/>
        </w:rPr>
      </w:pPr>
    </w:p>
    <w:p>
      <w:pPr>
        <w:ind w:left="660" w:right="480" w:hanging="652"/>
        <w:spacing w:after="0" w:line="195" w:lineRule="auto"/>
        <w:tabs>
          <w:tab w:leader="none" w:pos="660" w:val="left"/>
        </w:tabs>
        <w:numPr>
          <w:ilvl w:val="0"/>
          <w:numId w:val="11"/>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For the years presented, the difference between the diluted average number of shares and the basic average number of shares related to share equivalents associated with outstanding restricted stock unit awards and employee stock options.</w:t>
      </w:r>
    </w:p>
    <w:p>
      <w:pPr>
        <w:spacing w:after="0" w:line="199" w:lineRule="exact"/>
        <w:rPr>
          <w:rFonts w:ascii="Times New Roman" w:cs="Times New Roman" w:eastAsia="Times New Roman" w:hAnsi="Times New Roman"/>
          <w:sz w:val="30"/>
          <w:szCs w:val="30"/>
          <w:color w:val="auto"/>
          <w:vertAlign w:val="superscript"/>
        </w:rPr>
      </w:pPr>
    </w:p>
    <w:p>
      <w:pPr>
        <w:ind w:left="660" w:right="200" w:hanging="652"/>
        <w:spacing w:after="0" w:line="195" w:lineRule="auto"/>
        <w:tabs>
          <w:tab w:leader="none" w:pos="660" w:val="left"/>
        </w:tabs>
        <w:numPr>
          <w:ilvl w:val="0"/>
          <w:numId w:val="11"/>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As average shares outstanding are used in the calculation of both basic and diluted earnings per share, the full impact of share repurchases is not realized in EPS in the year of repurchase for the years presented.</w:t>
      </w: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color w:val="auto"/>
        </w:rPr>
        <w:t>Howmet Aerospace Inc.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Balance Sheet (unaudited)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 U.S. dollar millions)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38"/>
        </w:trPr>
        <w:tc>
          <w:tcPr>
            <w:tcW w:w="8000" w:type="dxa"/>
            <w:vAlign w:val="bottom"/>
          </w:tcPr>
          <w:p>
            <w:pPr>
              <w:spacing w:after="0"/>
              <w:rPr>
                <w:sz w:val="20"/>
                <w:szCs w:val="20"/>
                <w:color w:val="auto"/>
              </w:rPr>
            </w:pPr>
          </w:p>
        </w:tc>
        <w:tc>
          <w:tcPr>
            <w:tcW w:w="160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80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54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5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742</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564</w:t>
            </w:r>
          </w:p>
        </w:tc>
        <w:tc>
          <w:tcPr>
            <w:tcW w:w="0" w:type="dxa"/>
            <w:vAlign w:val="bottom"/>
          </w:tcPr>
          <w:p>
            <w:pPr>
              <w:spacing w:after="0"/>
              <w:rPr>
                <w:sz w:val="1"/>
                <w:szCs w:val="1"/>
                <w:color w:val="auto"/>
              </w:rPr>
            </w:pP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Receivables from customers, less allowances of $— in both 2025 and 2024</w:t>
            </w:r>
          </w:p>
        </w:tc>
        <w:tc>
          <w:tcPr>
            <w:tcW w:w="54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779</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689</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receivables</w:t>
            </w:r>
          </w:p>
        </w:tc>
        <w:tc>
          <w:tcPr>
            <w:tcW w:w="5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17</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Inventories</w:t>
            </w:r>
          </w:p>
        </w:tc>
        <w:tc>
          <w:tcPr>
            <w:tcW w:w="54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1,849</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1,840</w:t>
            </w:r>
          </w:p>
        </w:tc>
        <w:tc>
          <w:tcPr>
            <w:tcW w:w="0" w:type="dxa"/>
            <w:vAlign w:val="bottom"/>
          </w:tcPr>
          <w:p>
            <w:pPr>
              <w:spacing w:after="0"/>
              <w:rPr>
                <w:sz w:val="1"/>
                <w:szCs w:val="1"/>
                <w:color w:val="auto"/>
              </w:rPr>
            </w:pPr>
          </w:p>
        </w:tc>
      </w:tr>
      <w:tr>
        <w:trPr>
          <w:trHeight w:val="230"/>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54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392</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249</w:t>
            </w:r>
          </w:p>
        </w:tc>
        <w:tc>
          <w:tcPr>
            <w:tcW w:w="0" w:type="dxa"/>
            <w:vAlign w:val="bottom"/>
          </w:tcPr>
          <w:p>
            <w:pPr>
              <w:spacing w:after="0"/>
              <w:rPr>
                <w:sz w:val="1"/>
                <w:szCs w:val="1"/>
                <w:color w:val="auto"/>
              </w:rPr>
            </w:pPr>
          </w:p>
        </w:tc>
      </w:tr>
      <w:tr>
        <w:trPr>
          <w:trHeight w:val="209"/>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current assets</w:t>
            </w:r>
          </w:p>
        </w:tc>
        <w:tc>
          <w:tcPr>
            <w:tcW w:w="54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3,779</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3,362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Properties, plants, and equipment, net</w:t>
            </w:r>
          </w:p>
        </w:tc>
        <w:tc>
          <w:tcPr>
            <w:tcW w:w="5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2,593</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2,386</w:t>
            </w: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Goodwill</w:t>
            </w:r>
          </w:p>
        </w:tc>
        <w:tc>
          <w:tcPr>
            <w:tcW w:w="54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4,022</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4,010</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income taxes</w:t>
            </w:r>
          </w:p>
        </w:tc>
        <w:tc>
          <w:tcPr>
            <w:tcW w:w="5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Intangibles, net</w:t>
            </w:r>
          </w:p>
        </w:tc>
        <w:tc>
          <w:tcPr>
            <w:tcW w:w="54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457</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475</w:t>
            </w:r>
          </w:p>
        </w:tc>
        <w:tc>
          <w:tcPr>
            <w:tcW w:w="0" w:type="dxa"/>
            <w:vAlign w:val="bottom"/>
          </w:tcPr>
          <w:p>
            <w:pPr>
              <w:spacing w:after="0"/>
              <w:rPr>
                <w:sz w:val="1"/>
                <w:szCs w:val="1"/>
                <w:color w:val="auto"/>
              </w:rPr>
            </w:pPr>
          </w:p>
        </w:tc>
      </w:tr>
      <w:tr>
        <w:trPr>
          <w:trHeight w:val="229"/>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noncurrent assets</w:t>
            </w:r>
          </w:p>
        </w:tc>
        <w:tc>
          <w:tcPr>
            <w:tcW w:w="54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288</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251</w:t>
            </w:r>
          </w:p>
        </w:tc>
        <w:tc>
          <w:tcPr>
            <w:tcW w:w="0" w:type="dxa"/>
            <w:vAlign w:val="bottom"/>
          </w:tcPr>
          <w:p>
            <w:pPr>
              <w:spacing w:after="0"/>
              <w:rPr>
                <w:sz w:val="1"/>
                <w:szCs w:val="1"/>
                <w:color w:val="auto"/>
              </w:rPr>
            </w:pPr>
          </w:p>
        </w:tc>
      </w:tr>
      <w:tr>
        <w:trPr>
          <w:trHeight w:val="263"/>
        </w:trPr>
        <w:tc>
          <w:tcPr>
            <w:tcW w:w="800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5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11,179</w:t>
            </w:r>
          </w:p>
        </w:tc>
        <w:tc>
          <w:tcPr>
            <w:tcW w:w="12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10,519</w:t>
            </w:r>
          </w:p>
        </w:tc>
        <w:tc>
          <w:tcPr>
            <w:tcW w:w="10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80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5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5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payable, trade</w:t>
            </w:r>
          </w:p>
        </w:tc>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845</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948</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compensation and retirement costs</w:t>
            </w:r>
          </w:p>
        </w:tc>
        <w:tc>
          <w:tcPr>
            <w:tcW w:w="5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343</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305</w:t>
            </w:r>
          </w:p>
        </w:tc>
        <w:tc>
          <w:tcPr>
            <w:tcW w:w="0" w:type="dxa"/>
            <w:vAlign w:val="bottom"/>
          </w:tcPr>
          <w:p>
            <w:pPr>
              <w:spacing w:after="0"/>
              <w:rPr>
                <w:sz w:val="1"/>
                <w:szCs w:val="1"/>
                <w:color w:val="auto"/>
              </w:rPr>
            </w:pP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Taxes, including income taxes</w:t>
            </w:r>
          </w:p>
        </w:tc>
        <w:tc>
          <w:tcPr>
            <w:tcW w:w="54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77</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interest payable</w:t>
            </w:r>
          </w:p>
        </w:tc>
        <w:tc>
          <w:tcPr>
            <w:tcW w:w="5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47</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59</w:t>
            </w:r>
          </w:p>
        </w:tc>
        <w:tc>
          <w:tcPr>
            <w:tcW w:w="0" w:type="dxa"/>
            <w:vAlign w:val="bottom"/>
          </w:tcPr>
          <w:p>
            <w:pPr>
              <w:spacing w:after="0"/>
              <w:rPr>
                <w:sz w:val="1"/>
                <w:szCs w:val="1"/>
                <w:color w:val="auto"/>
              </w:rPr>
            </w:pP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Deferred revenue</w:t>
            </w:r>
          </w:p>
        </w:tc>
        <w:tc>
          <w:tcPr>
            <w:tcW w:w="54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147</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5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121</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111</w:t>
            </w:r>
          </w:p>
        </w:tc>
        <w:tc>
          <w:tcPr>
            <w:tcW w:w="0" w:type="dxa"/>
            <w:vAlign w:val="bottom"/>
          </w:tcPr>
          <w:p>
            <w:pPr>
              <w:spacing w:after="0"/>
              <w:rPr>
                <w:sz w:val="1"/>
                <w:szCs w:val="1"/>
                <w:color w:val="auto"/>
              </w:rPr>
            </w:pPr>
          </w:p>
        </w:tc>
      </w:tr>
      <w:tr>
        <w:trPr>
          <w:trHeight w:val="230"/>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Long-term debt due within one year</w:t>
            </w:r>
          </w:p>
        </w:tc>
        <w:tc>
          <w:tcPr>
            <w:tcW w:w="540" w:type="dxa"/>
            <w:vAlign w:val="bottom"/>
          </w:tcPr>
          <w:p>
            <w:pPr>
              <w:spacing w:after="0"/>
              <w:rPr>
                <w:sz w:val="19"/>
                <w:szCs w:val="19"/>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191</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10"/>
        </w:trPr>
        <w:tc>
          <w:tcPr>
            <w:tcW w:w="8000" w:type="dxa"/>
            <w:vAlign w:val="bottom"/>
            <w:tcBorders>
              <w:top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54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1,771</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Long-term debt, less amount due within one year</w:t>
            </w:r>
          </w:p>
        </w:tc>
        <w:tc>
          <w:tcPr>
            <w:tcW w:w="54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2,859</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3,309</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pension benefits</w:t>
            </w:r>
          </w:p>
        </w:tc>
        <w:tc>
          <w:tcPr>
            <w:tcW w:w="5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546</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625</w:t>
            </w: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Accrued other postretirement benefits</w:t>
            </w:r>
          </w:p>
        </w:tc>
        <w:tc>
          <w:tcPr>
            <w:tcW w:w="54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38</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229"/>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noncurrent liabilities and deferred credits</w:t>
            </w:r>
          </w:p>
        </w:tc>
        <w:tc>
          <w:tcPr>
            <w:tcW w:w="54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612</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428</w:t>
            </w:r>
          </w:p>
        </w:tc>
        <w:tc>
          <w:tcPr>
            <w:tcW w:w="0" w:type="dxa"/>
            <w:vAlign w:val="bottom"/>
          </w:tcPr>
          <w:p>
            <w:pPr>
              <w:spacing w:after="0"/>
              <w:rPr>
                <w:sz w:val="1"/>
                <w:szCs w:val="1"/>
                <w:color w:val="auto"/>
              </w:rPr>
            </w:pPr>
          </w:p>
        </w:tc>
      </w:tr>
      <w:tr>
        <w:trPr>
          <w:trHeight w:val="210"/>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liabilities</w:t>
            </w:r>
          </w:p>
        </w:tc>
        <w:tc>
          <w:tcPr>
            <w:tcW w:w="54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5,826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5,965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5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Howmet Aerospace shareholders’ equity:</w:t>
            </w:r>
          </w:p>
        </w:tc>
        <w:tc>
          <w:tcPr>
            <w:tcW w:w="5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Preferred stock</w:t>
            </w:r>
          </w:p>
        </w:tc>
        <w:tc>
          <w:tcPr>
            <w:tcW w:w="54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Common stock</w:t>
            </w:r>
          </w:p>
        </w:tc>
        <w:tc>
          <w:tcPr>
            <w:tcW w:w="5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402</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405</w:t>
            </w:r>
          </w:p>
        </w:tc>
        <w:tc>
          <w:tcPr>
            <w:tcW w:w="0" w:type="dxa"/>
            <w:vAlign w:val="bottom"/>
          </w:tcPr>
          <w:p>
            <w:pPr>
              <w:spacing w:after="0"/>
              <w:rPr>
                <w:sz w:val="1"/>
                <w:szCs w:val="1"/>
                <w:color w:val="auto"/>
              </w:rPr>
            </w:pP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Additional capital</w:t>
            </w:r>
          </w:p>
        </w:tc>
        <w:tc>
          <w:tcPr>
            <w:tcW w:w="54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2,531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3,206</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Retained earnings</w:t>
            </w:r>
          </w:p>
        </w:tc>
        <w:tc>
          <w:tcPr>
            <w:tcW w:w="5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4,093</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2,766</w:t>
            </w:r>
          </w:p>
        </w:tc>
        <w:tc>
          <w:tcPr>
            <w:tcW w:w="0" w:type="dxa"/>
            <w:vAlign w:val="bottom"/>
          </w:tcPr>
          <w:p>
            <w:pPr>
              <w:spacing w:after="0"/>
              <w:rPr>
                <w:sz w:val="1"/>
                <w:szCs w:val="1"/>
                <w:color w:val="auto"/>
              </w:rPr>
            </w:pPr>
          </w:p>
        </w:tc>
      </w:tr>
      <w:tr>
        <w:trPr>
          <w:trHeight w:val="230"/>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540" w:type="dxa"/>
            <w:vAlign w:val="bottom"/>
          </w:tcPr>
          <w:p>
            <w:pPr>
              <w:spacing w:after="0"/>
              <w:rPr>
                <w:sz w:val="19"/>
                <w:szCs w:val="19"/>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(1,673)</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(1,878)</w:t>
            </w:r>
          </w:p>
        </w:tc>
        <w:tc>
          <w:tcPr>
            <w:tcW w:w="0" w:type="dxa"/>
            <w:vAlign w:val="bottom"/>
          </w:tcPr>
          <w:p>
            <w:pPr>
              <w:spacing w:after="0"/>
              <w:rPr>
                <w:sz w:val="1"/>
                <w:szCs w:val="1"/>
                <w:color w:val="auto"/>
              </w:rPr>
            </w:pPr>
          </w:p>
        </w:tc>
      </w:tr>
      <w:tr>
        <w:trPr>
          <w:trHeight w:val="209"/>
        </w:trPr>
        <w:tc>
          <w:tcPr>
            <w:tcW w:w="8000" w:type="dxa"/>
            <w:vAlign w:val="bottom"/>
            <w:tcBorders>
              <w:top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equity</w:t>
            </w:r>
          </w:p>
        </w:tc>
        <w:tc>
          <w:tcPr>
            <w:tcW w:w="54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5,353</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Total liabilities and equity</w:t>
            </w:r>
          </w:p>
        </w:tc>
        <w:tc>
          <w:tcPr>
            <w:tcW w:w="5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11,179</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10,519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000" w:type="dxa"/>
            <w:vAlign w:val="bottom"/>
            <w:vMerge w:val="restart"/>
          </w:tcPr>
          <w:p>
            <w:pPr>
              <w:ind w:left="5540"/>
              <w:spacing w:after="0"/>
              <w:rPr>
                <w:sz w:val="20"/>
                <w:szCs w:val="20"/>
                <w:color w:val="auto"/>
              </w:rPr>
            </w:pPr>
            <w:r>
              <w:rPr>
                <w:rFonts w:ascii="Times New Roman" w:cs="Times New Roman" w:eastAsia="Times New Roman" w:hAnsi="Times New Roman"/>
                <w:sz w:val="18"/>
                <w:szCs w:val="18"/>
                <w:color w:val="auto"/>
              </w:rPr>
              <w:t>13</w:t>
            </w:r>
          </w:p>
        </w:tc>
        <w:tc>
          <w:tcPr>
            <w:tcW w:w="5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8000" w:type="dxa"/>
            <w:vAlign w:val="bottom"/>
            <w:tcBorders>
              <w:bottom w:val="single" w:sz="8" w:color="auto"/>
            </w:tcBorders>
            <w:vMerge w:val="continue"/>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0"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color w:val="auto"/>
        </w:rPr>
        <w:t>Howmet Aerospace Inc.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Statement of Consolidated Cash Flows (unaudited)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 U.S. dollar millions)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000" w:type="dxa"/>
            <w:vAlign w:val="bottom"/>
          </w:tcPr>
          <w:p>
            <w:pPr>
              <w:spacing w:after="0"/>
              <w:rPr>
                <w:sz w:val="20"/>
                <w:szCs w:val="20"/>
                <w:color w:val="auto"/>
              </w:rPr>
            </w:pPr>
          </w:p>
        </w:tc>
        <w:tc>
          <w:tcPr>
            <w:tcW w:w="262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5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80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80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96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960" w:type="dxa"/>
            <w:vAlign w:val="bottom"/>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1,508</w:t>
            </w:r>
          </w:p>
        </w:tc>
        <w:tc>
          <w:tcPr>
            <w:tcW w:w="1020" w:type="dxa"/>
            <w:vAlign w:val="bottom"/>
            <w:gridSpan w:val="2"/>
          </w:tcPr>
          <w:p>
            <w:pPr>
              <w:jc w:val="right"/>
              <w:ind w:right="75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1,155</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to reconcile net income to cash provided from operations:</w:t>
            </w:r>
          </w:p>
        </w:tc>
        <w:tc>
          <w:tcPr>
            <w:tcW w:w="9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960" w:type="dxa"/>
            <w:vAlign w:val="bottom"/>
          </w:tcPr>
          <w:p>
            <w:pPr>
              <w:spacing w:after="0"/>
              <w:rPr>
                <w:sz w:val="18"/>
                <w:szCs w:val="18"/>
                <w:color w:val="auto"/>
              </w:rPr>
            </w:pPr>
          </w:p>
        </w:tc>
        <w:tc>
          <w:tcPr>
            <w:tcW w:w="64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283</w:t>
            </w: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277</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income taxes</w:t>
            </w:r>
          </w:p>
        </w:tc>
        <w:tc>
          <w:tcPr>
            <w:tcW w:w="9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17</w:t>
            </w: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Restructuring and other charges</w:t>
            </w:r>
          </w:p>
        </w:tc>
        <w:tc>
          <w:tcPr>
            <w:tcW w:w="960" w:type="dxa"/>
            <w:vAlign w:val="bottom"/>
          </w:tcPr>
          <w:p>
            <w:pPr>
              <w:spacing w:after="0"/>
              <w:rPr>
                <w:sz w:val="18"/>
                <w:szCs w:val="18"/>
                <w:color w:val="auto"/>
              </w:rPr>
            </w:pPr>
          </w:p>
        </w:tc>
        <w:tc>
          <w:tcPr>
            <w:tcW w:w="64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84</w:t>
            </w: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realized and unrealized losses</w:t>
            </w:r>
          </w:p>
        </w:tc>
        <w:tc>
          <w:tcPr>
            <w:tcW w:w="9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22</w:t>
            </w: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periodic pension cost</w:t>
            </w:r>
          </w:p>
        </w:tc>
        <w:tc>
          <w:tcPr>
            <w:tcW w:w="960" w:type="dxa"/>
            <w:vAlign w:val="bottom"/>
          </w:tcPr>
          <w:p>
            <w:pPr>
              <w:spacing w:after="0"/>
              <w:rPr>
                <w:sz w:val="18"/>
                <w:szCs w:val="18"/>
                <w:color w:val="auto"/>
              </w:rPr>
            </w:pPr>
          </w:p>
        </w:tc>
        <w:tc>
          <w:tcPr>
            <w:tcW w:w="64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42</w:t>
            </w: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Stock-based compensation</w:t>
            </w:r>
          </w:p>
        </w:tc>
        <w:tc>
          <w:tcPr>
            <w:tcW w:w="9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73</w:t>
            </w: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Loss on debt redemption</w:t>
            </w:r>
          </w:p>
        </w:tc>
        <w:tc>
          <w:tcPr>
            <w:tcW w:w="960" w:type="dxa"/>
            <w:vAlign w:val="bottom"/>
          </w:tcPr>
          <w:p>
            <w:pPr>
              <w:spacing w:after="0"/>
              <w:rPr>
                <w:sz w:val="18"/>
                <w:szCs w:val="18"/>
                <w:color w:val="auto"/>
              </w:rPr>
            </w:pPr>
          </w:p>
        </w:tc>
        <w:tc>
          <w:tcPr>
            <w:tcW w:w="64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15</w:t>
            </w: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9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8</w:t>
            </w: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198"/>
        </w:trPr>
        <w:tc>
          <w:tcPr>
            <w:tcW w:w="80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Changes in assets and liabilities, excluding effects of acquisitions, divestitures, and foreign currency</w:t>
            </w:r>
          </w:p>
        </w:tc>
        <w:tc>
          <w:tcPr>
            <w:tcW w:w="9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translation adjustments:</w:t>
            </w:r>
          </w:p>
        </w:tc>
        <w:tc>
          <w:tcPr>
            <w:tcW w:w="9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Increase in receivables</w:t>
            </w:r>
          </w:p>
        </w:tc>
        <w:tc>
          <w:tcPr>
            <w:tcW w:w="9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0" w:type="dxa"/>
            <w:vAlign w:val="bottom"/>
          </w:tcPr>
          <w:p>
            <w:pPr>
              <w:spacing w:after="0"/>
              <w:rPr>
                <w:sz w:val="1"/>
                <w:szCs w:val="1"/>
                <w:color w:val="auto"/>
              </w:rPr>
            </w:pPr>
          </w:p>
        </w:tc>
      </w:tr>
      <w:tr>
        <w:trPr>
          <w:trHeight w:val="216"/>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Increase in inventories</w:t>
            </w:r>
          </w:p>
        </w:tc>
        <w:tc>
          <w:tcPr>
            <w:tcW w:w="96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Increase in prepaid expenses and other current assets</w:t>
            </w:r>
          </w:p>
        </w:tc>
        <w:tc>
          <w:tcPr>
            <w:tcW w:w="9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16"/>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Decrease in accounts payable, trade</w:t>
            </w:r>
          </w:p>
        </w:tc>
        <w:tc>
          <w:tcPr>
            <w:tcW w:w="96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Increase in accrued expenses</w:t>
            </w:r>
          </w:p>
        </w:tc>
        <w:tc>
          <w:tcPr>
            <w:tcW w:w="9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96</w:t>
            </w: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16"/>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Decrease in taxes, including income taxes</w:t>
            </w:r>
          </w:p>
        </w:tc>
        <w:tc>
          <w:tcPr>
            <w:tcW w:w="96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Pension contributions</w:t>
            </w:r>
          </w:p>
        </w:tc>
        <w:tc>
          <w:tcPr>
            <w:tcW w:w="9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0" w:type="dxa"/>
            <w:vAlign w:val="bottom"/>
          </w:tcPr>
          <w:p>
            <w:pPr>
              <w:spacing w:after="0"/>
              <w:rPr>
                <w:sz w:val="1"/>
                <w:szCs w:val="1"/>
                <w:color w:val="auto"/>
              </w:rPr>
            </w:pPr>
          </w:p>
        </w:tc>
      </w:tr>
      <w:tr>
        <w:trPr>
          <w:trHeight w:val="216"/>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Increase in noncurrent assets</w:t>
            </w:r>
          </w:p>
        </w:tc>
        <w:tc>
          <w:tcPr>
            <w:tcW w:w="96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30"/>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Increase (decrease) in noncurrent liabilities</w:t>
            </w:r>
          </w:p>
        </w:tc>
        <w:tc>
          <w:tcPr>
            <w:tcW w:w="96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68</w:t>
            </w:r>
          </w:p>
        </w:tc>
        <w:tc>
          <w:tcPr>
            <w:tcW w:w="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10"/>
        </w:trPr>
        <w:tc>
          <w:tcPr>
            <w:tcW w:w="8000" w:type="dxa"/>
            <w:vAlign w:val="bottom"/>
            <w:tcBorders>
              <w:bottom w:val="single" w:sz="8" w:color="CCEEFF"/>
            </w:tcBorders>
          </w:tcPr>
          <w:p>
            <w:pPr>
              <w:ind w:left="500"/>
              <w:spacing w:after="0"/>
              <w:rPr>
                <w:sz w:val="20"/>
                <w:szCs w:val="20"/>
                <w:color w:val="auto"/>
              </w:rPr>
            </w:pPr>
            <w:r>
              <w:rPr>
                <w:rFonts w:ascii="Times New Roman" w:cs="Times New Roman" w:eastAsia="Times New Roman" w:hAnsi="Times New Roman"/>
                <w:sz w:val="18"/>
                <w:szCs w:val="18"/>
                <w:b w:val="1"/>
                <w:bCs w:val="1"/>
                <w:color w:val="auto"/>
              </w:rPr>
              <w:t>Cash provided from operations</w:t>
            </w:r>
          </w:p>
        </w:tc>
        <w:tc>
          <w:tcPr>
            <w:tcW w:w="960" w:type="dxa"/>
            <w:vAlign w:val="bottom"/>
            <w:tcBorders>
              <w:top w:val="single" w:sz="8" w:color="auto"/>
              <w:bottom w:val="single" w:sz="8" w:color="auto"/>
            </w:tcBorders>
          </w:tcPr>
          <w:p>
            <w:pPr>
              <w:spacing w:after="0"/>
              <w:rPr>
                <w:sz w:val="18"/>
                <w:szCs w:val="18"/>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1,884</w:t>
            </w:r>
          </w:p>
        </w:tc>
        <w:tc>
          <w:tcPr>
            <w:tcW w:w="1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940" w:type="dxa"/>
            <w:vAlign w:val="bottom"/>
            <w:tcBorders>
              <w:top w:val="single" w:sz="8" w:color="auto"/>
              <w:bottom w:val="single" w:sz="8" w:color="auto"/>
            </w:tcBorders>
          </w:tcPr>
          <w:p>
            <w:pPr>
              <w:spacing w:after="0"/>
              <w:rPr>
                <w:sz w:val="18"/>
                <w:szCs w:val="18"/>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1,298</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9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Additions to debt</w:t>
            </w:r>
          </w:p>
        </w:tc>
        <w:tc>
          <w:tcPr>
            <w:tcW w:w="960" w:type="dxa"/>
            <w:vAlign w:val="bottom"/>
          </w:tcPr>
          <w:p>
            <w:pPr>
              <w:spacing w:after="0"/>
              <w:rPr>
                <w:sz w:val="18"/>
                <w:szCs w:val="18"/>
                <w:color w:val="auto"/>
              </w:rPr>
            </w:pPr>
          </w:p>
        </w:tc>
        <w:tc>
          <w:tcPr>
            <w:tcW w:w="64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500</w:t>
            </w: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500</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Repurchases and payments on debt</w:t>
            </w:r>
          </w:p>
        </w:tc>
        <w:tc>
          <w:tcPr>
            <w:tcW w:w="9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(765)</w:t>
            </w: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(865)</w:t>
            </w: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Debt issuance costs</w:t>
            </w:r>
          </w:p>
        </w:tc>
        <w:tc>
          <w:tcPr>
            <w:tcW w:w="96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Premiums paid on early redemption of debt</w:t>
            </w:r>
          </w:p>
        </w:tc>
        <w:tc>
          <w:tcPr>
            <w:tcW w:w="9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Repurchases of common stock</w:t>
            </w:r>
          </w:p>
        </w:tc>
        <w:tc>
          <w:tcPr>
            <w:tcW w:w="96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(700)</w:t>
            </w: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exercise of employee stock options</w:t>
            </w:r>
          </w:p>
        </w:tc>
        <w:tc>
          <w:tcPr>
            <w:tcW w:w="9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Dividends paid to shareholders</w:t>
            </w:r>
          </w:p>
        </w:tc>
        <w:tc>
          <w:tcPr>
            <w:tcW w:w="96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Taxes paid for net share settlement of equity awards</w:t>
            </w:r>
          </w:p>
        </w:tc>
        <w:tc>
          <w:tcPr>
            <w:tcW w:w="9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Redemption of preferred stock</w:t>
            </w:r>
          </w:p>
        </w:tc>
        <w:tc>
          <w:tcPr>
            <w:tcW w:w="96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96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0"/>
        </w:trPr>
        <w:tc>
          <w:tcPr>
            <w:tcW w:w="8000" w:type="dxa"/>
            <w:vAlign w:val="bottom"/>
            <w:tcBorders>
              <w:bottom w:val="single" w:sz="8" w:color="CCEEFF"/>
            </w:tcBorders>
          </w:tcPr>
          <w:p>
            <w:pPr>
              <w:ind w:left="500"/>
              <w:spacing w:after="0"/>
              <w:rPr>
                <w:sz w:val="20"/>
                <w:szCs w:val="20"/>
                <w:color w:val="auto"/>
              </w:rPr>
            </w:pPr>
            <w:r>
              <w:rPr>
                <w:rFonts w:ascii="Times New Roman" w:cs="Times New Roman" w:eastAsia="Times New Roman" w:hAnsi="Times New Roman"/>
                <w:sz w:val="18"/>
                <w:szCs w:val="18"/>
                <w:b w:val="1"/>
                <w:bCs w:val="1"/>
                <w:color w:val="auto"/>
              </w:rPr>
              <w:t>Cash used for financing activities</w:t>
            </w:r>
          </w:p>
        </w:tc>
        <w:tc>
          <w:tcPr>
            <w:tcW w:w="960" w:type="dxa"/>
            <w:vAlign w:val="bottom"/>
            <w:tcBorders>
              <w:top w:val="single" w:sz="8" w:color="auto"/>
              <w:bottom w:val="single" w:sz="8" w:color="auto"/>
            </w:tcBorders>
          </w:tcPr>
          <w:p>
            <w:pPr>
              <w:spacing w:after="0"/>
              <w:rPr>
                <w:sz w:val="18"/>
                <w:szCs w:val="18"/>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(1,269</w:t>
            </w:r>
          </w:p>
        </w:tc>
        <w:tc>
          <w:tcPr>
            <w:tcW w:w="1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bottom w:val="single" w:sz="8" w:color="CCEEFF"/>
            </w:tcBorders>
          </w:tcPr>
          <w:p>
            <w:pPr>
              <w:spacing w:after="0"/>
              <w:rPr>
                <w:sz w:val="18"/>
                <w:szCs w:val="18"/>
                <w:color w:val="auto"/>
              </w:rPr>
            </w:pPr>
          </w:p>
        </w:tc>
        <w:tc>
          <w:tcPr>
            <w:tcW w:w="940" w:type="dxa"/>
            <w:vAlign w:val="bottom"/>
            <w:tcBorders>
              <w:top w:val="single" w:sz="8" w:color="auto"/>
              <w:bottom w:val="single" w:sz="8" w:color="auto"/>
            </w:tcBorders>
          </w:tcPr>
          <w:p>
            <w:pPr>
              <w:spacing w:after="0"/>
              <w:rPr>
                <w:sz w:val="18"/>
                <w:szCs w:val="18"/>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(1,026</w:t>
            </w:r>
          </w:p>
        </w:tc>
        <w:tc>
          <w:tcPr>
            <w:tcW w:w="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9"/>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9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Capital expenditures</w:t>
            </w:r>
          </w:p>
        </w:tc>
        <w:tc>
          <w:tcPr>
            <w:tcW w:w="96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(453)</w:t>
            </w: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(321)</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Acquisitions, net of cash acquired</w:t>
            </w:r>
          </w:p>
        </w:tc>
        <w:tc>
          <w:tcPr>
            <w:tcW w:w="9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the sale of assets and businesses</w:t>
            </w:r>
          </w:p>
        </w:tc>
        <w:tc>
          <w:tcPr>
            <w:tcW w:w="960" w:type="dxa"/>
            <w:vAlign w:val="bottom"/>
          </w:tcPr>
          <w:p>
            <w:pPr>
              <w:spacing w:after="0"/>
              <w:rPr>
                <w:sz w:val="18"/>
                <w:szCs w:val="18"/>
                <w:color w:val="auto"/>
              </w:rPr>
            </w:pPr>
          </w:p>
        </w:tc>
        <w:tc>
          <w:tcPr>
            <w:tcW w:w="64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9</w:t>
            </w: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Additions to investments</w:t>
            </w:r>
          </w:p>
        </w:tc>
        <w:tc>
          <w:tcPr>
            <w:tcW w:w="9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Sale of investments</w:t>
            </w:r>
          </w:p>
        </w:tc>
        <w:tc>
          <w:tcPr>
            <w:tcW w:w="960" w:type="dxa"/>
            <w:vAlign w:val="bottom"/>
          </w:tcPr>
          <w:p>
            <w:pPr>
              <w:spacing w:after="0"/>
              <w:rPr>
                <w:sz w:val="18"/>
                <w:szCs w:val="18"/>
                <w:color w:val="auto"/>
              </w:rPr>
            </w:pPr>
          </w:p>
        </w:tc>
        <w:tc>
          <w:tcPr>
            <w:tcW w:w="64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15</w:t>
            </w: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96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0"/>
        </w:trPr>
        <w:tc>
          <w:tcPr>
            <w:tcW w:w="8000" w:type="dxa"/>
            <w:vAlign w:val="bottom"/>
            <w:tcBorders>
              <w:bottom w:val="single" w:sz="8" w:color="CCEEFF"/>
            </w:tcBorders>
          </w:tcPr>
          <w:p>
            <w:pPr>
              <w:ind w:left="500"/>
              <w:spacing w:after="0"/>
              <w:rPr>
                <w:sz w:val="20"/>
                <w:szCs w:val="20"/>
                <w:color w:val="auto"/>
              </w:rPr>
            </w:pPr>
            <w:r>
              <w:rPr>
                <w:rFonts w:ascii="Times New Roman" w:cs="Times New Roman" w:eastAsia="Times New Roman" w:hAnsi="Times New Roman"/>
                <w:sz w:val="18"/>
                <w:szCs w:val="18"/>
                <w:b w:val="1"/>
                <w:bCs w:val="1"/>
                <w:color w:val="auto"/>
              </w:rPr>
              <w:t>Cash used for investing activities</w:t>
            </w:r>
          </w:p>
        </w:tc>
        <w:tc>
          <w:tcPr>
            <w:tcW w:w="960" w:type="dxa"/>
            <w:vAlign w:val="bottom"/>
            <w:tcBorders>
              <w:top w:val="single" w:sz="8" w:color="auto"/>
              <w:bottom w:val="single" w:sz="8" w:color="auto"/>
            </w:tcBorders>
          </w:tcPr>
          <w:p>
            <w:pPr>
              <w:spacing w:after="0"/>
              <w:rPr>
                <w:sz w:val="18"/>
                <w:szCs w:val="18"/>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(438</w:t>
            </w:r>
          </w:p>
        </w:tc>
        <w:tc>
          <w:tcPr>
            <w:tcW w:w="1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bottom w:val="single" w:sz="8" w:color="CCEEFF"/>
            </w:tcBorders>
          </w:tcPr>
          <w:p>
            <w:pPr>
              <w:spacing w:after="0"/>
              <w:rPr>
                <w:sz w:val="18"/>
                <w:szCs w:val="18"/>
                <w:color w:val="auto"/>
              </w:rPr>
            </w:pPr>
          </w:p>
        </w:tc>
        <w:tc>
          <w:tcPr>
            <w:tcW w:w="940" w:type="dxa"/>
            <w:vAlign w:val="bottom"/>
            <w:tcBorders>
              <w:top w:val="single" w:sz="8" w:color="auto"/>
              <w:bottom w:val="single" w:sz="8" w:color="auto"/>
            </w:tcBorders>
          </w:tcPr>
          <w:p>
            <w:pPr>
              <w:spacing w:after="0"/>
              <w:rPr>
                <w:sz w:val="18"/>
                <w:szCs w:val="18"/>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(316</w:t>
            </w:r>
          </w:p>
        </w:tc>
        <w:tc>
          <w:tcPr>
            <w:tcW w:w="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9"/>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Effect of exchange rate changes on cash, cash equivalents and restricted cash</w:t>
            </w:r>
          </w:p>
        </w:tc>
        <w:tc>
          <w:tcPr>
            <w:tcW w:w="9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Net change in cash, cash equivalents and restricted cash</w:t>
            </w:r>
          </w:p>
        </w:tc>
        <w:tc>
          <w:tcPr>
            <w:tcW w:w="960" w:type="dxa"/>
            <w:vAlign w:val="bottom"/>
          </w:tcPr>
          <w:p>
            <w:pPr>
              <w:spacing w:after="0"/>
              <w:rPr>
                <w:sz w:val="18"/>
                <w:szCs w:val="18"/>
                <w:color w:val="auto"/>
              </w:rPr>
            </w:pPr>
          </w:p>
        </w:tc>
        <w:tc>
          <w:tcPr>
            <w:tcW w:w="64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178</w:t>
            </w: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230"/>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at beginning of period</w:t>
            </w:r>
          </w:p>
        </w:tc>
        <w:tc>
          <w:tcPr>
            <w:tcW w:w="96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565</w:t>
            </w:r>
          </w:p>
        </w:tc>
        <w:tc>
          <w:tcPr>
            <w:tcW w:w="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610</w:t>
            </w:r>
          </w:p>
        </w:tc>
        <w:tc>
          <w:tcPr>
            <w:tcW w:w="0" w:type="dxa"/>
            <w:vAlign w:val="bottom"/>
          </w:tcPr>
          <w:p>
            <w:pPr>
              <w:spacing w:after="0"/>
              <w:rPr>
                <w:sz w:val="1"/>
                <w:szCs w:val="1"/>
                <w:color w:val="auto"/>
              </w:rPr>
            </w:pPr>
          </w:p>
        </w:tc>
      </w:tr>
      <w:tr>
        <w:trPr>
          <w:trHeight w:val="223"/>
        </w:trPr>
        <w:tc>
          <w:tcPr>
            <w:tcW w:w="8000" w:type="dxa"/>
            <w:vAlign w:val="bottom"/>
          </w:tcPr>
          <w:p>
            <w:pPr>
              <w:ind w:left="500"/>
              <w:spacing w:after="0"/>
              <w:rPr>
                <w:sz w:val="20"/>
                <w:szCs w:val="20"/>
                <w:color w:val="auto"/>
              </w:rPr>
            </w:pPr>
            <w:r>
              <w:rPr>
                <w:rFonts w:ascii="Times New Roman" w:cs="Times New Roman" w:eastAsia="Times New Roman" w:hAnsi="Times New Roman"/>
                <w:sz w:val="18"/>
                <w:szCs w:val="18"/>
                <w:b w:val="1"/>
                <w:bCs w:val="1"/>
                <w:color w:val="auto"/>
              </w:rPr>
              <w:t>Cash, cash equivalents and restricted cash at end of period</w:t>
            </w:r>
          </w:p>
        </w:tc>
        <w:tc>
          <w:tcPr>
            <w:tcW w:w="960" w:type="dxa"/>
            <w:vAlign w:val="bottom"/>
            <w:tcBorders>
              <w:top w:val="single" w:sz="8" w:color="auto"/>
              <w:bottom w:val="single" w:sz="8" w:color="auto"/>
            </w:tcBorders>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743</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tcBorders>
              <w:top w:val="single" w:sz="8" w:color="auto"/>
              <w:bottom w:val="single" w:sz="8" w:color="auto"/>
            </w:tcBorders>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000" w:type="dxa"/>
            <w:vAlign w:val="bottom"/>
            <w:vMerge w:val="restart"/>
          </w:tcPr>
          <w:p>
            <w:pPr>
              <w:ind w:left="5540"/>
              <w:spacing w:after="0"/>
              <w:rPr>
                <w:sz w:val="20"/>
                <w:szCs w:val="20"/>
                <w:color w:val="auto"/>
              </w:rPr>
            </w:pPr>
            <w:r>
              <w:rPr>
                <w:rFonts w:ascii="Times New Roman" w:cs="Times New Roman" w:eastAsia="Times New Roman" w:hAnsi="Times New Roman"/>
                <w:sz w:val="18"/>
                <w:szCs w:val="18"/>
                <w:color w:val="auto"/>
              </w:rPr>
              <w:t>14</w:t>
            </w:r>
          </w:p>
        </w:tc>
        <w:tc>
          <w:tcPr>
            <w:tcW w:w="9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8000" w:type="dxa"/>
            <w:vAlign w:val="bottom"/>
            <w:tcBorders>
              <w:bottom w:val="single" w:sz="8" w:color="auto"/>
            </w:tcBorders>
            <w:vMerge w:val="continue"/>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0"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color w:val="auto"/>
        </w:rPr>
        <w:t>Howmet Aerospace Inc.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Calculation of Financial Measures (unaudited), continued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 U.S. dollars millions)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9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40" w:type="dxa"/>
            <w:vAlign w:val="bottom"/>
            <w:gridSpan w:val="5"/>
          </w:tcPr>
          <w:p>
            <w:pPr>
              <w:ind w:left="340"/>
              <w:spacing w:after="0"/>
              <w:rPr>
                <w:sz w:val="20"/>
                <w:szCs w:val="20"/>
                <w:color w:val="auto"/>
              </w:rPr>
            </w:pPr>
            <w:r>
              <w:rPr>
                <w:rFonts w:ascii="Times New Roman" w:cs="Times New Roman" w:eastAsia="Times New Roman" w:hAnsi="Times New Roman"/>
                <w:sz w:val="18"/>
                <w:szCs w:val="18"/>
                <w:b w:val="1"/>
                <w:bCs w:val="1"/>
                <w:color w:val="auto"/>
              </w:rPr>
              <w:t>Quarter ended</w:t>
            </w: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Year ended</w:t>
            </w:r>
          </w:p>
        </w:tc>
      </w:tr>
      <w:tr>
        <w:trPr>
          <w:trHeight w:val="223"/>
        </w:trPr>
        <w:tc>
          <w:tcPr>
            <w:tcW w:w="52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Reconciliation of Free cash flow</w:t>
            </w:r>
          </w:p>
        </w:tc>
        <w:tc>
          <w:tcPr>
            <w:tcW w:w="20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1Q25</w:t>
            </w:r>
          </w:p>
        </w:tc>
        <w:tc>
          <w:tcPr>
            <w:tcW w:w="18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gridSpan w:val="2"/>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2Q25</w:t>
            </w:r>
          </w:p>
        </w:tc>
        <w:tc>
          <w:tcPr>
            <w:tcW w:w="20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3Q25</w:t>
            </w:r>
          </w:p>
        </w:tc>
        <w:tc>
          <w:tcPr>
            <w:tcW w:w="2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4Q25</w:t>
            </w:r>
          </w:p>
        </w:tc>
        <w:tc>
          <w:tcPr>
            <w:tcW w:w="2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4Q25</w:t>
            </w:r>
          </w:p>
        </w:tc>
        <w:tc>
          <w:tcPr>
            <w:tcW w:w="160" w:type="dxa"/>
            <w:vAlign w:val="bottom"/>
          </w:tcPr>
          <w:p>
            <w:pPr>
              <w:spacing w:after="0"/>
              <w:rPr>
                <w:sz w:val="19"/>
                <w:szCs w:val="19"/>
                <w:color w:val="auto"/>
              </w:rPr>
            </w:pPr>
          </w:p>
        </w:tc>
      </w:tr>
      <w:tr>
        <w:trPr>
          <w:trHeight w:val="209"/>
        </w:trPr>
        <w:tc>
          <w:tcPr>
            <w:tcW w:w="49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provided from operations</w:t>
            </w:r>
          </w:p>
        </w:tc>
        <w:tc>
          <w:tcPr>
            <w:tcW w:w="2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w:t>
            </w: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w w:val="88"/>
              </w:rPr>
              <w:t>531</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654</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1,884</w:t>
            </w:r>
          </w:p>
        </w:tc>
        <w:tc>
          <w:tcPr>
            <w:tcW w:w="160" w:type="dxa"/>
            <w:vAlign w:val="bottom"/>
            <w:tcBorders>
              <w:top w:val="single" w:sz="8" w:color="CCEEFF"/>
            </w:tcBorders>
            <w:shd w:val="clear" w:color="auto" w:fill="CCEEFF"/>
          </w:tcPr>
          <w:p>
            <w:pPr>
              <w:spacing w:after="0"/>
              <w:rPr>
                <w:sz w:val="18"/>
                <w:szCs w:val="18"/>
                <w:color w:val="auto"/>
              </w:rPr>
            </w:pPr>
          </w:p>
        </w:tc>
      </w:tr>
      <w:tr>
        <w:trPr>
          <w:trHeight w:val="230"/>
        </w:trPr>
        <w:tc>
          <w:tcPr>
            <w:tcW w:w="5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Capital expenditures</w:t>
            </w:r>
          </w:p>
        </w:tc>
        <w:tc>
          <w:tcPr>
            <w:tcW w:w="20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(119)</w:t>
            </w:r>
          </w:p>
        </w:tc>
        <w:tc>
          <w:tcPr>
            <w:tcW w:w="180" w:type="dxa"/>
            <w:vAlign w:val="bottom"/>
          </w:tcPr>
          <w:p>
            <w:pPr>
              <w:spacing w:after="0"/>
              <w:rPr>
                <w:sz w:val="19"/>
                <w:szCs w:val="19"/>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(102)</w:t>
            </w:r>
          </w:p>
        </w:tc>
        <w:tc>
          <w:tcPr>
            <w:tcW w:w="200" w:type="dxa"/>
            <w:vAlign w:val="bottom"/>
          </w:tcPr>
          <w:p>
            <w:pPr>
              <w:spacing w:after="0"/>
              <w:rPr>
                <w:sz w:val="19"/>
                <w:szCs w:val="19"/>
                <w:color w:val="auto"/>
              </w:rPr>
            </w:pPr>
          </w:p>
        </w:tc>
        <w:tc>
          <w:tcPr>
            <w:tcW w:w="102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(108)</w:t>
            </w:r>
          </w:p>
        </w:tc>
        <w:tc>
          <w:tcPr>
            <w:tcW w:w="20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(124)</w:t>
            </w:r>
          </w:p>
        </w:tc>
        <w:tc>
          <w:tcPr>
            <w:tcW w:w="200" w:type="dxa"/>
            <w:vAlign w:val="bottom"/>
          </w:tcPr>
          <w:p>
            <w:pPr>
              <w:spacing w:after="0"/>
              <w:rPr>
                <w:sz w:val="19"/>
                <w:szCs w:val="19"/>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(453)</w:t>
            </w:r>
          </w:p>
        </w:tc>
      </w:tr>
      <w:tr>
        <w:trPr>
          <w:trHeight w:val="209"/>
        </w:trPr>
        <w:tc>
          <w:tcPr>
            <w:tcW w:w="520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Free cash flow (a)</w:t>
            </w:r>
          </w:p>
        </w:tc>
        <w:tc>
          <w:tcPr>
            <w:tcW w:w="200" w:type="dxa"/>
            <w:vAlign w:val="bottom"/>
            <w:tcBorders>
              <w:top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w:t>
            </w: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w w:val="88"/>
              </w:rPr>
              <w:t>423</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1,431</w:t>
            </w:r>
          </w:p>
        </w:tc>
        <w:tc>
          <w:tcPr>
            <w:tcW w:w="160" w:type="dxa"/>
            <w:vAlign w:val="bottom"/>
            <w:tcBorders>
              <w:top w:val="single" w:sz="8" w:color="CCEEFF"/>
            </w:tcBorders>
            <w:shd w:val="clear" w:color="auto" w:fill="CCEEFF"/>
          </w:tcPr>
          <w:p>
            <w:pPr>
              <w:spacing w:after="0"/>
              <w:rPr>
                <w:sz w:val="18"/>
                <w:szCs w:val="18"/>
                <w:color w:val="auto"/>
              </w:rPr>
            </w:pPr>
          </w:p>
        </w:tc>
      </w:tr>
      <w:tr>
        <w:trPr>
          <w:trHeight w:val="216"/>
        </w:trPr>
        <w:tc>
          <w:tcPr>
            <w:tcW w:w="5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income (b)</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344</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407</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385</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372</w:t>
            </w:r>
          </w:p>
        </w:tc>
        <w:tc>
          <w:tcPr>
            <w:tcW w:w="20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1,508</w:t>
            </w:r>
          </w:p>
        </w:tc>
      </w:tr>
      <w:tr>
        <w:trPr>
          <w:trHeight w:val="257"/>
        </w:trPr>
        <w:tc>
          <w:tcPr>
            <w:tcW w:w="520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Free cash flow conversion as a percentage of Net income</w:t>
            </w: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 xml:space="preserve"> (a)/(b)</w:t>
            </w:r>
          </w:p>
        </w:tc>
        <w:tc>
          <w:tcPr>
            <w:tcW w:w="20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95%</w:t>
            </w:r>
          </w:p>
        </w:tc>
      </w:tr>
      <w:tr>
        <w:trPr>
          <w:trHeight w:val="257"/>
        </w:trPr>
        <w:tc>
          <w:tcPr>
            <w:tcW w:w="520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Net income excluding Special items</w:t>
            </w:r>
            <w:r>
              <w:rPr>
                <w:rFonts w:ascii="Times New Roman" w:cs="Times New Roman" w:eastAsia="Times New Roman" w:hAnsi="Times New Roman"/>
                <w:sz w:val="29"/>
                <w:szCs w:val="29"/>
                <w:color w:val="auto"/>
                <w:vertAlign w:val="superscript"/>
              </w:rPr>
              <w:t>(2)</w:t>
            </w:r>
            <w:r>
              <w:rPr>
                <w:rFonts w:ascii="Times New Roman" w:cs="Times New Roman" w:eastAsia="Times New Roman" w:hAnsi="Times New Roman"/>
                <w:sz w:val="18"/>
                <w:szCs w:val="18"/>
                <w:color w:val="auto"/>
              </w:rPr>
              <w:t xml:space="preserve"> (c)</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351</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371</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385</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426</w:t>
            </w:r>
          </w:p>
        </w:tc>
        <w:tc>
          <w:tcPr>
            <w:tcW w:w="20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1,533</w:t>
            </w:r>
          </w:p>
        </w:tc>
      </w:tr>
      <w:tr>
        <w:trPr>
          <w:trHeight w:val="201"/>
        </w:trPr>
        <w:tc>
          <w:tcPr>
            <w:tcW w:w="5200" w:type="dxa"/>
            <w:vAlign w:val="bottom"/>
            <w:gridSpan w:val="2"/>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Free cash flow conversion as a percentage of Net income excluding</w:t>
            </w: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71"/>
        </w:trPr>
        <w:tc>
          <w:tcPr>
            <w:tcW w:w="5200" w:type="dxa"/>
            <w:vAlign w:val="bottom"/>
            <w:gridSpan w:val="2"/>
            <w:shd w:val="clear" w:color="auto" w:fill="CCEEFF"/>
          </w:tcPr>
          <w:p>
            <w:pPr>
              <w:spacing w:after="0" w:line="271" w:lineRule="exact"/>
              <w:rPr>
                <w:sz w:val="20"/>
                <w:szCs w:val="20"/>
                <w:color w:val="auto"/>
              </w:rPr>
            </w:pPr>
            <w:r>
              <w:rPr>
                <w:rFonts w:ascii="Times New Roman" w:cs="Times New Roman" w:eastAsia="Times New Roman" w:hAnsi="Times New Roman"/>
                <w:sz w:val="18"/>
                <w:szCs w:val="18"/>
                <w:color w:val="auto"/>
              </w:rPr>
              <w:t>Special items</w:t>
            </w: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 xml:space="preserve"> (a)/(c)</w:t>
            </w:r>
          </w:p>
        </w:tc>
        <w:tc>
          <w:tcPr>
            <w:tcW w:w="20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93%</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Accounts Receivable Securitization program remains unchanged at $250 outstanding.</w:t>
      </w:r>
    </w:p>
    <w:p>
      <w:pPr>
        <w:spacing w:after="0" w:line="225"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Free cash flow is a non-GAAP financial measure. Management believes that this measure is meaningful to investors because management reviews cash flows generated from operations after taking into consideration capital expenditures (due to the fact that these expenditures are considered necessary to maintain and expand the Company's asset base and are expected to generate future cash flows from operations). It is important to note that Free cash flow does not represent the residual cash flow available for discretionary expenditures since other non-discretionary expenditures, such as mandatory debt service requirements, are not deducted from the measure.</w:t>
      </w:r>
    </w:p>
    <w:p>
      <w:pPr>
        <w:spacing w:after="0" w:line="73" w:lineRule="exact"/>
        <w:rPr>
          <w:sz w:val="20"/>
          <w:szCs w:val="20"/>
          <w:color w:val="auto"/>
        </w:rPr>
      </w:pPr>
    </w:p>
    <w:p>
      <w:pPr>
        <w:ind w:left="660" w:hanging="652"/>
        <w:spacing w:after="0"/>
        <w:tabs>
          <w:tab w:leader="none" w:pos="660" w:val="left"/>
        </w:tabs>
        <w:numPr>
          <w:ilvl w:val="0"/>
          <w:numId w:val="12"/>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We compute free cash flow conversion on an annual basis only due to the cycle of our businesses.</w:t>
      </w:r>
    </w:p>
    <w:p>
      <w:pPr>
        <w:spacing w:after="0" w:line="197" w:lineRule="exact"/>
        <w:rPr>
          <w:rFonts w:ascii="Times New Roman" w:cs="Times New Roman" w:eastAsia="Times New Roman" w:hAnsi="Times New Roman"/>
          <w:sz w:val="30"/>
          <w:szCs w:val="30"/>
          <w:color w:val="auto"/>
          <w:vertAlign w:val="superscript"/>
        </w:rPr>
      </w:pPr>
    </w:p>
    <w:p>
      <w:pPr>
        <w:ind w:left="660" w:right="140" w:hanging="652"/>
        <w:spacing w:after="0" w:line="195" w:lineRule="auto"/>
        <w:tabs>
          <w:tab w:leader="none" w:pos="660" w:val="left"/>
        </w:tabs>
        <w:numPr>
          <w:ilvl w:val="0"/>
          <w:numId w:val="12"/>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Please refer to the Reconciliation of Net income excluding Special items for the reconciliation from Net income to Net income excluding Special items.</w:t>
      </w: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color w:val="auto"/>
        </w:rPr>
        <w:t>Howmet Aerospace Inc.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Segment Information (unaudited)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 U.S. dollar millions)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1Q24</w:t>
            </w:r>
          </w:p>
        </w:tc>
        <w:tc>
          <w:tcPr>
            <w:tcW w:w="120" w:type="dxa"/>
            <w:vAlign w:val="bottom"/>
          </w:tcPr>
          <w:p>
            <w:pPr>
              <w:spacing w:after="0"/>
              <w:rPr>
                <w:sz w:val="15"/>
                <w:szCs w:val="15"/>
                <w:color w:val="auto"/>
              </w:rPr>
            </w:pPr>
          </w:p>
        </w:tc>
        <w:tc>
          <w:tcPr>
            <w:tcW w:w="78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2Q24</w:t>
            </w:r>
          </w:p>
        </w:tc>
        <w:tc>
          <w:tcPr>
            <w:tcW w:w="120" w:type="dxa"/>
            <w:vAlign w:val="bottom"/>
          </w:tcPr>
          <w:p>
            <w:pPr>
              <w:spacing w:after="0"/>
              <w:rPr>
                <w:sz w:val="15"/>
                <w:szCs w:val="15"/>
                <w:color w:val="auto"/>
              </w:rPr>
            </w:pPr>
          </w:p>
        </w:tc>
        <w:tc>
          <w:tcPr>
            <w:tcW w:w="78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3Q24</w:t>
            </w:r>
          </w:p>
        </w:tc>
        <w:tc>
          <w:tcPr>
            <w:tcW w:w="120" w:type="dxa"/>
            <w:vAlign w:val="bottom"/>
          </w:tcPr>
          <w:p>
            <w:pPr>
              <w:spacing w:after="0"/>
              <w:rPr>
                <w:sz w:val="15"/>
                <w:szCs w:val="15"/>
                <w:color w:val="auto"/>
              </w:rPr>
            </w:pPr>
          </w:p>
        </w:tc>
        <w:tc>
          <w:tcPr>
            <w:tcW w:w="76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4Q24</w:t>
            </w:r>
          </w:p>
        </w:tc>
        <w:tc>
          <w:tcPr>
            <w:tcW w:w="140" w:type="dxa"/>
            <w:vAlign w:val="bottom"/>
          </w:tcPr>
          <w:p>
            <w:pPr>
              <w:spacing w:after="0"/>
              <w:rPr>
                <w:sz w:val="15"/>
                <w:szCs w:val="15"/>
                <w:color w:val="auto"/>
              </w:rPr>
            </w:pPr>
          </w:p>
        </w:tc>
        <w:tc>
          <w:tcPr>
            <w:tcW w:w="520" w:type="dxa"/>
            <w:vAlign w:val="bottom"/>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1Q25</w:t>
            </w:r>
          </w:p>
        </w:tc>
        <w:tc>
          <w:tcPr>
            <w:tcW w:w="120" w:type="dxa"/>
            <w:vAlign w:val="bottom"/>
          </w:tcPr>
          <w:p>
            <w:pPr>
              <w:spacing w:after="0"/>
              <w:rPr>
                <w:sz w:val="15"/>
                <w:szCs w:val="15"/>
                <w:color w:val="auto"/>
              </w:rPr>
            </w:pPr>
          </w:p>
        </w:tc>
        <w:tc>
          <w:tcPr>
            <w:tcW w:w="78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2Q25</w:t>
            </w:r>
          </w:p>
        </w:tc>
        <w:tc>
          <w:tcPr>
            <w:tcW w:w="120" w:type="dxa"/>
            <w:vAlign w:val="bottom"/>
          </w:tcPr>
          <w:p>
            <w:pPr>
              <w:spacing w:after="0"/>
              <w:rPr>
                <w:sz w:val="15"/>
                <w:szCs w:val="15"/>
                <w:color w:val="auto"/>
              </w:rPr>
            </w:pPr>
          </w:p>
        </w:tc>
        <w:tc>
          <w:tcPr>
            <w:tcW w:w="76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3Q25</w:t>
            </w:r>
          </w:p>
        </w:tc>
        <w:tc>
          <w:tcPr>
            <w:tcW w:w="120" w:type="dxa"/>
            <w:vAlign w:val="bottom"/>
          </w:tcPr>
          <w:p>
            <w:pPr>
              <w:spacing w:after="0"/>
              <w:rPr>
                <w:sz w:val="15"/>
                <w:szCs w:val="15"/>
                <w:color w:val="auto"/>
              </w:rPr>
            </w:pPr>
          </w:p>
        </w:tc>
        <w:tc>
          <w:tcPr>
            <w:tcW w:w="78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4Q25</w:t>
            </w:r>
          </w:p>
        </w:tc>
        <w:tc>
          <w:tcPr>
            <w:tcW w:w="120" w:type="dxa"/>
            <w:vAlign w:val="bottom"/>
          </w:tcPr>
          <w:p>
            <w:pPr>
              <w:spacing w:after="0"/>
              <w:rPr>
                <w:sz w:val="15"/>
                <w:szCs w:val="15"/>
                <w:color w:val="auto"/>
              </w:rPr>
            </w:pPr>
          </w:p>
        </w:tc>
        <w:tc>
          <w:tcPr>
            <w:tcW w:w="540" w:type="dxa"/>
            <w:vAlign w:val="bottom"/>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2380" w:type="dxa"/>
            <w:vAlign w:val="bottom"/>
            <w:tcBorders>
              <w:top w:val="single" w:sz="8" w:color="CCEEFF"/>
            </w:tcBorders>
            <w:gridSpan w:val="5"/>
            <w:shd w:val="clear" w:color="auto" w:fill="CCEEFF"/>
          </w:tcPr>
          <w:p>
            <w:pPr>
              <w:spacing w:after="0" w:line="129" w:lineRule="exact"/>
              <w:rPr>
                <w:sz w:val="20"/>
                <w:szCs w:val="20"/>
                <w:color w:val="auto"/>
              </w:rPr>
            </w:pPr>
            <w:r>
              <w:rPr>
                <w:rFonts w:ascii="Times New Roman" w:cs="Times New Roman" w:eastAsia="Times New Roman" w:hAnsi="Times New Roman"/>
                <w:sz w:val="14"/>
                <w:szCs w:val="14"/>
                <w:b w:val="1"/>
                <w:bCs w:val="1"/>
                <w:color w:val="auto"/>
              </w:rPr>
              <w:t>Engine Products</w:t>
            </w:r>
          </w:p>
        </w:tc>
        <w:tc>
          <w:tcPr>
            <w:tcW w:w="140" w:type="dxa"/>
            <w:vAlign w:val="bottom"/>
            <w:tcBorders>
              <w:top w:val="single" w:sz="8" w:color="auto"/>
            </w:tcBorders>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spacing w:after="0"/>
              <w:rPr>
                <w:sz w:val="11"/>
                <w:szCs w:val="11"/>
                <w:color w:val="auto"/>
              </w:rPr>
            </w:pPr>
          </w:p>
        </w:tc>
        <w:tc>
          <w:tcPr>
            <w:tcW w:w="24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spacing w:after="0"/>
              <w:rPr>
                <w:sz w:val="11"/>
                <w:szCs w:val="11"/>
                <w:color w:val="auto"/>
              </w:rPr>
            </w:pPr>
          </w:p>
        </w:tc>
        <w:tc>
          <w:tcPr>
            <w:tcW w:w="24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spacing w:after="0"/>
              <w:rPr>
                <w:sz w:val="11"/>
                <w:szCs w:val="11"/>
                <w:color w:val="auto"/>
              </w:rPr>
            </w:pPr>
          </w:p>
        </w:tc>
        <w:tc>
          <w:tcPr>
            <w:tcW w:w="24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spacing w:after="0"/>
              <w:rPr>
                <w:sz w:val="11"/>
                <w:szCs w:val="11"/>
                <w:color w:val="auto"/>
              </w:rPr>
            </w:pPr>
          </w:p>
        </w:tc>
        <w:tc>
          <w:tcPr>
            <w:tcW w:w="24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spacing w:after="0"/>
              <w:rPr>
                <w:sz w:val="11"/>
                <w:szCs w:val="11"/>
                <w:color w:val="auto"/>
              </w:rPr>
            </w:pPr>
          </w:p>
        </w:tc>
        <w:tc>
          <w:tcPr>
            <w:tcW w:w="24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1020" w:type="dxa"/>
            <w:vAlign w:val="bottom"/>
            <w:tcBorders>
              <w:top w:val="single" w:sz="8" w:color="auto"/>
            </w:tcBorders>
            <w:gridSpan w:val="2"/>
          </w:tcPr>
          <w:p>
            <w:pPr>
              <w:spacing w:after="0" w:line="142" w:lineRule="exact"/>
              <w:rPr>
                <w:sz w:val="20"/>
                <w:szCs w:val="20"/>
                <w:color w:val="auto"/>
              </w:rPr>
            </w:pPr>
            <w:r>
              <w:rPr>
                <w:rFonts w:ascii="Times New Roman" w:cs="Times New Roman" w:eastAsia="Times New Roman" w:hAnsi="Times New Roman"/>
                <w:sz w:val="14"/>
                <w:szCs w:val="14"/>
                <w:color w:val="auto"/>
              </w:rPr>
              <w:t>Third-party sales</w:t>
            </w:r>
          </w:p>
        </w:tc>
        <w:tc>
          <w:tcPr>
            <w:tcW w:w="1360" w:type="dxa"/>
            <w:vAlign w:val="bottom"/>
            <w:tcBorders>
              <w:top w:val="single" w:sz="8" w:color="CCEEFF"/>
            </w:tcBorders>
            <w:gridSpan w:val="3"/>
          </w:tcPr>
          <w:p>
            <w:pPr>
              <w:spacing w:after="0"/>
              <w:rPr>
                <w:sz w:val="12"/>
                <w:szCs w:val="12"/>
                <w:color w:val="auto"/>
              </w:rPr>
            </w:pPr>
          </w:p>
        </w:tc>
        <w:tc>
          <w:tcPr>
            <w:tcW w:w="140" w:type="dxa"/>
            <w:vAlign w:val="bottom"/>
            <w:tcBorders>
              <w:top w:val="single" w:sz="8" w:color="CCEEFF"/>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CCEEFF"/>
            </w:tcBorders>
            <w:gridSpan w:val="2"/>
          </w:tcPr>
          <w:p>
            <w:pPr>
              <w:jc w:val="right"/>
              <w:ind w:right="240"/>
              <w:spacing w:after="0" w:line="142" w:lineRule="exact"/>
              <w:rPr>
                <w:sz w:val="20"/>
                <w:szCs w:val="20"/>
                <w:color w:val="auto"/>
              </w:rPr>
            </w:pPr>
            <w:r>
              <w:rPr>
                <w:rFonts w:ascii="Times New Roman" w:cs="Times New Roman" w:eastAsia="Times New Roman" w:hAnsi="Times New Roman"/>
                <w:sz w:val="14"/>
                <w:szCs w:val="14"/>
                <w:color w:val="auto"/>
              </w:rPr>
              <w:t>885</w:t>
            </w:r>
          </w:p>
        </w:tc>
        <w:tc>
          <w:tcPr>
            <w:tcW w:w="120" w:type="dxa"/>
            <w:vAlign w:val="bottom"/>
            <w:tcBorders>
              <w:top w:val="single" w:sz="8" w:color="CCEEFF"/>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CCEEFF"/>
            </w:tcBorders>
            <w:gridSpan w:val="2"/>
          </w:tcPr>
          <w:p>
            <w:pPr>
              <w:jc w:val="right"/>
              <w:ind w:right="220"/>
              <w:spacing w:after="0" w:line="142" w:lineRule="exact"/>
              <w:rPr>
                <w:sz w:val="20"/>
                <w:szCs w:val="20"/>
                <w:color w:val="auto"/>
              </w:rPr>
            </w:pPr>
            <w:r>
              <w:rPr>
                <w:rFonts w:ascii="Times New Roman" w:cs="Times New Roman" w:eastAsia="Times New Roman" w:hAnsi="Times New Roman"/>
                <w:sz w:val="14"/>
                <w:szCs w:val="14"/>
                <w:color w:val="auto"/>
              </w:rPr>
              <w:t>933</w:t>
            </w:r>
          </w:p>
        </w:tc>
        <w:tc>
          <w:tcPr>
            <w:tcW w:w="120" w:type="dxa"/>
            <w:vAlign w:val="bottom"/>
            <w:tcBorders>
              <w:top w:val="single" w:sz="8" w:color="CCEEFF"/>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CCEEFF"/>
            </w:tcBorders>
            <w:gridSpan w:val="2"/>
          </w:tcPr>
          <w:p>
            <w:pPr>
              <w:jc w:val="right"/>
              <w:ind w:right="240"/>
              <w:spacing w:after="0" w:line="142" w:lineRule="exact"/>
              <w:rPr>
                <w:sz w:val="20"/>
                <w:szCs w:val="20"/>
                <w:color w:val="auto"/>
              </w:rPr>
            </w:pPr>
            <w:r>
              <w:rPr>
                <w:rFonts w:ascii="Times New Roman" w:cs="Times New Roman" w:eastAsia="Times New Roman" w:hAnsi="Times New Roman"/>
                <w:sz w:val="14"/>
                <w:szCs w:val="14"/>
                <w:color w:val="auto"/>
              </w:rPr>
              <w:t>945</w:t>
            </w:r>
          </w:p>
        </w:tc>
        <w:tc>
          <w:tcPr>
            <w:tcW w:w="120" w:type="dxa"/>
            <w:vAlign w:val="bottom"/>
            <w:tcBorders>
              <w:top w:val="single" w:sz="8" w:color="CCEEFF"/>
            </w:tcBorders>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top w:val="single" w:sz="8" w:color="CCEEFF"/>
            </w:tcBorders>
            <w:gridSpan w:val="2"/>
          </w:tcPr>
          <w:p>
            <w:pPr>
              <w:jc w:val="right"/>
              <w:ind w:right="220"/>
              <w:spacing w:after="0" w:line="142" w:lineRule="exact"/>
              <w:rPr>
                <w:sz w:val="20"/>
                <w:szCs w:val="20"/>
                <w:color w:val="auto"/>
              </w:rPr>
            </w:pPr>
            <w:r>
              <w:rPr>
                <w:rFonts w:ascii="Times New Roman" w:cs="Times New Roman" w:eastAsia="Times New Roman" w:hAnsi="Times New Roman"/>
                <w:sz w:val="14"/>
                <w:szCs w:val="14"/>
                <w:color w:val="auto"/>
              </w:rPr>
              <w:t>972</w:t>
            </w:r>
          </w:p>
        </w:tc>
        <w:tc>
          <w:tcPr>
            <w:tcW w:w="140" w:type="dxa"/>
            <w:vAlign w:val="bottom"/>
            <w:tcBorders>
              <w:top w:val="single" w:sz="8" w:color="CCEEFF"/>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CCEEFF"/>
            </w:tcBorders>
            <w:gridSpan w:val="2"/>
          </w:tcPr>
          <w:p>
            <w:pPr>
              <w:jc w:val="right"/>
              <w:ind w:right="240"/>
              <w:spacing w:after="0" w:line="142" w:lineRule="exact"/>
              <w:rPr>
                <w:sz w:val="20"/>
                <w:szCs w:val="20"/>
                <w:color w:val="auto"/>
              </w:rPr>
            </w:pPr>
            <w:r>
              <w:rPr>
                <w:rFonts w:ascii="Times New Roman" w:cs="Times New Roman" w:eastAsia="Times New Roman" w:hAnsi="Times New Roman"/>
                <w:sz w:val="14"/>
                <w:szCs w:val="14"/>
                <w:color w:val="auto"/>
              </w:rPr>
              <w:t>3,735</w:t>
            </w:r>
          </w:p>
        </w:tc>
        <w:tc>
          <w:tcPr>
            <w:tcW w:w="120" w:type="dxa"/>
            <w:vAlign w:val="bottom"/>
            <w:tcBorders>
              <w:top w:val="single" w:sz="8" w:color="CCEEFF"/>
            </w:tcBorders>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top w:val="single" w:sz="8" w:color="CCEEFF"/>
            </w:tcBorders>
            <w:gridSpan w:val="2"/>
          </w:tcPr>
          <w:p>
            <w:pPr>
              <w:jc w:val="right"/>
              <w:ind w:right="220"/>
              <w:spacing w:after="0" w:line="142" w:lineRule="exact"/>
              <w:rPr>
                <w:sz w:val="20"/>
                <w:szCs w:val="20"/>
                <w:color w:val="auto"/>
              </w:rPr>
            </w:pPr>
            <w:r>
              <w:rPr>
                <w:rFonts w:ascii="Times New Roman" w:cs="Times New Roman" w:eastAsia="Times New Roman" w:hAnsi="Times New Roman"/>
                <w:sz w:val="14"/>
                <w:szCs w:val="14"/>
                <w:color w:val="auto"/>
              </w:rPr>
              <w:t>996</w:t>
            </w:r>
          </w:p>
        </w:tc>
        <w:tc>
          <w:tcPr>
            <w:tcW w:w="120" w:type="dxa"/>
            <w:vAlign w:val="bottom"/>
            <w:tcBorders>
              <w:top w:val="single" w:sz="8" w:color="CCEEFF"/>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CCEEFF"/>
            </w:tcBorders>
            <w:gridSpan w:val="2"/>
          </w:tcPr>
          <w:p>
            <w:pPr>
              <w:jc w:val="right"/>
              <w:ind w:right="240"/>
              <w:spacing w:after="0" w:line="142" w:lineRule="exact"/>
              <w:rPr>
                <w:sz w:val="20"/>
                <w:szCs w:val="20"/>
                <w:color w:val="auto"/>
              </w:rPr>
            </w:pPr>
            <w:r>
              <w:rPr>
                <w:rFonts w:ascii="Times New Roman" w:cs="Times New Roman" w:eastAsia="Times New Roman" w:hAnsi="Times New Roman"/>
                <w:sz w:val="14"/>
                <w:szCs w:val="14"/>
                <w:color w:val="auto"/>
              </w:rPr>
              <w:t>1,056</w:t>
            </w:r>
          </w:p>
        </w:tc>
        <w:tc>
          <w:tcPr>
            <w:tcW w:w="120" w:type="dxa"/>
            <w:vAlign w:val="bottom"/>
            <w:tcBorders>
              <w:top w:val="single" w:sz="8" w:color="CCEEFF"/>
            </w:tcBorders>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top w:val="single" w:sz="8" w:color="CCEEFF"/>
            </w:tcBorders>
            <w:gridSpan w:val="2"/>
          </w:tcPr>
          <w:p>
            <w:pPr>
              <w:jc w:val="right"/>
              <w:ind w:right="220"/>
              <w:spacing w:after="0" w:line="142" w:lineRule="exact"/>
              <w:rPr>
                <w:sz w:val="20"/>
                <w:szCs w:val="20"/>
                <w:color w:val="auto"/>
              </w:rPr>
            </w:pPr>
            <w:r>
              <w:rPr>
                <w:rFonts w:ascii="Times New Roman" w:cs="Times New Roman" w:eastAsia="Times New Roman" w:hAnsi="Times New Roman"/>
                <w:sz w:val="14"/>
                <w:szCs w:val="14"/>
                <w:color w:val="auto"/>
              </w:rPr>
              <w:t>1,105</w:t>
            </w:r>
          </w:p>
        </w:tc>
        <w:tc>
          <w:tcPr>
            <w:tcW w:w="120" w:type="dxa"/>
            <w:vAlign w:val="bottom"/>
            <w:tcBorders>
              <w:top w:val="single" w:sz="8" w:color="CCEEFF"/>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CCEEFF"/>
            </w:tcBorders>
            <w:gridSpan w:val="2"/>
          </w:tcPr>
          <w:p>
            <w:pPr>
              <w:jc w:val="right"/>
              <w:ind w:right="240"/>
              <w:spacing w:after="0" w:line="142" w:lineRule="exact"/>
              <w:rPr>
                <w:sz w:val="20"/>
                <w:szCs w:val="20"/>
                <w:color w:val="auto"/>
              </w:rPr>
            </w:pPr>
            <w:r>
              <w:rPr>
                <w:rFonts w:ascii="Times New Roman" w:cs="Times New Roman" w:eastAsia="Times New Roman" w:hAnsi="Times New Roman"/>
                <w:sz w:val="14"/>
                <w:szCs w:val="14"/>
                <w:color w:val="auto"/>
              </w:rPr>
              <w:t>1,163</w:t>
            </w:r>
          </w:p>
        </w:tc>
        <w:tc>
          <w:tcPr>
            <w:tcW w:w="120" w:type="dxa"/>
            <w:vAlign w:val="bottom"/>
            <w:tcBorders>
              <w:top w:val="single" w:sz="8" w:color="CCEEFF"/>
            </w:tcBorders>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Borders>
              <w:top w:val="single" w:sz="8" w:color="CCEEFF"/>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4,320</w:t>
            </w:r>
          </w:p>
        </w:tc>
        <w:tc>
          <w:tcPr>
            <w:tcW w:w="12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380" w:type="dxa"/>
            <w:vAlign w:val="bottom"/>
            <w:gridSpan w:val="5"/>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Inter-segment sales</w:t>
            </w:r>
          </w:p>
        </w:tc>
        <w:tc>
          <w:tcPr>
            <w:tcW w:w="1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2</w:t>
            </w:r>
          </w:p>
        </w:tc>
        <w:tc>
          <w:tcPr>
            <w:tcW w:w="1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w:t>
            </w:r>
          </w:p>
        </w:tc>
        <w:tc>
          <w:tcPr>
            <w:tcW w:w="1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3</w:t>
            </w:r>
          </w:p>
        </w:tc>
        <w:tc>
          <w:tcPr>
            <w:tcW w:w="1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w:t>
            </w:r>
          </w:p>
        </w:tc>
        <w:tc>
          <w:tcPr>
            <w:tcW w:w="1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7</w:t>
            </w:r>
          </w:p>
        </w:tc>
        <w:tc>
          <w:tcPr>
            <w:tcW w:w="1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2</w:t>
            </w:r>
          </w:p>
        </w:tc>
        <w:tc>
          <w:tcPr>
            <w:tcW w:w="1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2</w:t>
            </w:r>
          </w:p>
        </w:tc>
        <w:tc>
          <w:tcPr>
            <w:tcW w:w="1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w:t>
            </w:r>
          </w:p>
        </w:tc>
        <w:tc>
          <w:tcPr>
            <w:tcW w:w="1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2</w:t>
            </w:r>
          </w:p>
        </w:tc>
        <w:tc>
          <w:tcPr>
            <w:tcW w:w="1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380" w:type="dxa"/>
            <w:vAlign w:val="bottom"/>
            <w:gridSpan w:val="5"/>
          </w:tcPr>
          <w:p>
            <w:pPr>
              <w:spacing w:after="0" w:line="126" w:lineRule="exact"/>
              <w:rPr>
                <w:sz w:val="20"/>
                <w:szCs w:val="20"/>
                <w:color w:val="auto"/>
              </w:rPr>
            </w:pPr>
            <w:r>
              <w:rPr>
                <w:rFonts w:ascii="Times New Roman" w:cs="Times New Roman" w:eastAsia="Times New Roman" w:hAnsi="Times New Roman"/>
                <w:sz w:val="14"/>
                <w:szCs w:val="14"/>
                <w:color w:val="auto"/>
              </w:rPr>
              <w:t>Provision for depreciation and</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33</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33</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34</w:t>
            </w:r>
          </w:p>
        </w:tc>
        <w:tc>
          <w:tcPr>
            <w:tcW w:w="120" w:type="dxa"/>
            <w:vAlign w:val="bottom"/>
            <w:vMerge w:val="restart"/>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39</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139</w:t>
            </w:r>
          </w:p>
        </w:tc>
        <w:tc>
          <w:tcPr>
            <w:tcW w:w="120" w:type="dxa"/>
            <w:vAlign w:val="bottom"/>
            <w:vMerge w:val="restart"/>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34</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35</w:t>
            </w:r>
          </w:p>
        </w:tc>
        <w:tc>
          <w:tcPr>
            <w:tcW w:w="120" w:type="dxa"/>
            <w:vAlign w:val="bottom"/>
            <w:vMerge w:val="restart"/>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38</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39</w:t>
            </w:r>
          </w:p>
        </w:tc>
        <w:tc>
          <w:tcPr>
            <w:tcW w:w="120" w:type="dxa"/>
            <w:vAlign w:val="bottom"/>
            <w:vMerge w:val="restart"/>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146</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380" w:type="dxa"/>
            <w:vAlign w:val="bottom"/>
            <w:gridSpan w:val="5"/>
          </w:tcPr>
          <w:p>
            <w:pPr>
              <w:spacing w:after="0"/>
              <w:rPr>
                <w:sz w:val="20"/>
                <w:szCs w:val="20"/>
                <w:color w:val="auto"/>
              </w:rPr>
            </w:pPr>
            <w:r>
              <w:rPr>
                <w:rFonts w:ascii="Times New Roman" w:cs="Times New Roman" w:eastAsia="Times New Roman" w:hAnsi="Times New Roman"/>
                <w:sz w:val="14"/>
                <w:szCs w:val="14"/>
                <w:color w:val="auto"/>
              </w:rPr>
              <w:t>amortization</w:t>
            </w:r>
          </w:p>
        </w:tc>
        <w:tc>
          <w:tcPr>
            <w:tcW w:w="140" w:type="dxa"/>
            <w:vAlign w:val="bottom"/>
            <w:vMerge w:val="continue"/>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140" w:type="dxa"/>
            <w:vAlign w:val="bottom"/>
            <w:vMerge w:val="continue"/>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5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380" w:type="dxa"/>
            <w:vAlign w:val="bottom"/>
            <w:gridSpan w:val="5"/>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Segment Adjusted EBITDA</w:t>
            </w:r>
          </w:p>
        </w:tc>
        <w:tc>
          <w:tcPr>
            <w:tcW w:w="1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249</w:t>
            </w:r>
          </w:p>
        </w:tc>
        <w:tc>
          <w:tcPr>
            <w:tcW w:w="1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292</w:t>
            </w:r>
          </w:p>
        </w:tc>
        <w:tc>
          <w:tcPr>
            <w:tcW w:w="1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307</w:t>
            </w:r>
          </w:p>
        </w:tc>
        <w:tc>
          <w:tcPr>
            <w:tcW w:w="1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302</w:t>
            </w:r>
          </w:p>
        </w:tc>
        <w:tc>
          <w:tcPr>
            <w:tcW w:w="1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1,150</w:t>
            </w:r>
          </w:p>
        </w:tc>
        <w:tc>
          <w:tcPr>
            <w:tcW w:w="1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325</w:t>
            </w:r>
          </w:p>
        </w:tc>
        <w:tc>
          <w:tcPr>
            <w:tcW w:w="1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349</w:t>
            </w:r>
          </w:p>
        </w:tc>
        <w:tc>
          <w:tcPr>
            <w:tcW w:w="1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368</w:t>
            </w:r>
          </w:p>
        </w:tc>
        <w:tc>
          <w:tcPr>
            <w:tcW w:w="1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396</w:t>
            </w:r>
          </w:p>
        </w:tc>
        <w:tc>
          <w:tcPr>
            <w:tcW w:w="1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1,438</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380" w:type="dxa"/>
            <w:vAlign w:val="bottom"/>
            <w:gridSpan w:val="5"/>
          </w:tcPr>
          <w:p>
            <w:pPr>
              <w:spacing w:after="0" w:line="149" w:lineRule="exact"/>
              <w:rPr>
                <w:sz w:val="20"/>
                <w:szCs w:val="20"/>
                <w:color w:val="auto"/>
              </w:rPr>
            </w:pPr>
            <w:r>
              <w:rPr>
                <w:rFonts w:ascii="Times New Roman" w:cs="Times New Roman" w:eastAsia="Times New Roman" w:hAnsi="Times New Roman"/>
                <w:sz w:val="14"/>
                <w:szCs w:val="14"/>
                <w:color w:val="auto"/>
              </w:rPr>
              <w:t>Segment Adjusted EBITDA Margin</w:t>
            </w:r>
          </w:p>
        </w:tc>
        <w:tc>
          <w:tcPr>
            <w:tcW w:w="140" w:type="dxa"/>
            <w:vAlign w:val="bottom"/>
          </w:tcPr>
          <w:p>
            <w:pPr>
              <w:spacing w:after="0"/>
              <w:rPr>
                <w:sz w:val="12"/>
                <w:szCs w:val="12"/>
                <w:color w:val="auto"/>
              </w:rPr>
            </w:pPr>
          </w:p>
        </w:tc>
        <w:tc>
          <w:tcPr>
            <w:tcW w:w="80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28.1%</w:t>
            </w:r>
          </w:p>
        </w:tc>
        <w:tc>
          <w:tcPr>
            <w:tcW w:w="120" w:type="dxa"/>
            <w:vAlign w:val="bottom"/>
          </w:tcPr>
          <w:p>
            <w:pPr>
              <w:spacing w:after="0"/>
              <w:rPr>
                <w:sz w:val="12"/>
                <w:szCs w:val="12"/>
                <w:color w:val="auto"/>
              </w:rPr>
            </w:pPr>
          </w:p>
        </w:tc>
        <w:tc>
          <w:tcPr>
            <w:tcW w:w="78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31.3%</w:t>
            </w:r>
          </w:p>
        </w:tc>
        <w:tc>
          <w:tcPr>
            <w:tcW w:w="120" w:type="dxa"/>
            <w:vAlign w:val="bottom"/>
          </w:tcPr>
          <w:p>
            <w:pPr>
              <w:spacing w:after="0"/>
              <w:rPr>
                <w:sz w:val="12"/>
                <w:szCs w:val="12"/>
                <w:color w:val="auto"/>
              </w:rPr>
            </w:pPr>
          </w:p>
        </w:tc>
        <w:tc>
          <w:tcPr>
            <w:tcW w:w="78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32.5%</w:t>
            </w:r>
          </w:p>
        </w:tc>
        <w:tc>
          <w:tcPr>
            <w:tcW w:w="120" w:type="dxa"/>
            <w:vAlign w:val="bottom"/>
          </w:tcPr>
          <w:p>
            <w:pPr>
              <w:spacing w:after="0"/>
              <w:rPr>
                <w:sz w:val="12"/>
                <w:szCs w:val="12"/>
                <w:color w:val="auto"/>
              </w:rPr>
            </w:pPr>
          </w:p>
        </w:tc>
        <w:tc>
          <w:tcPr>
            <w:tcW w:w="7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31.1%</w:t>
            </w:r>
          </w:p>
        </w:tc>
        <w:tc>
          <w:tcPr>
            <w:tcW w:w="140" w:type="dxa"/>
            <w:vAlign w:val="bottom"/>
          </w:tcPr>
          <w:p>
            <w:pPr>
              <w:spacing w:after="0"/>
              <w:rPr>
                <w:sz w:val="12"/>
                <w:szCs w:val="12"/>
                <w:color w:val="auto"/>
              </w:rPr>
            </w:pPr>
          </w:p>
        </w:tc>
        <w:tc>
          <w:tcPr>
            <w:tcW w:w="76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30.8%</w:t>
            </w:r>
          </w:p>
        </w:tc>
        <w:tc>
          <w:tcPr>
            <w:tcW w:w="120" w:type="dxa"/>
            <w:vAlign w:val="bottom"/>
          </w:tcPr>
          <w:p>
            <w:pPr>
              <w:spacing w:after="0"/>
              <w:rPr>
                <w:sz w:val="12"/>
                <w:szCs w:val="12"/>
                <w:color w:val="auto"/>
              </w:rPr>
            </w:pPr>
          </w:p>
        </w:tc>
        <w:tc>
          <w:tcPr>
            <w:tcW w:w="7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32.6%</w:t>
            </w:r>
          </w:p>
        </w:tc>
        <w:tc>
          <w:tcPr>
            <w:tcW w:w="120" w:type="dxa"/>
            <w:vAlign w:val="bottom"/>
          </w:tcPr>
          <w:p>
            <w:pPr>
              <w:spacing w:after="0"/>
              <w:rPr>
                <w:sz w:val="12"/>
                <w:szCs w:val="12"/>
                <w:color w:val="auto"/>
              </w:rPr>
            </w:pPr>
          </w:p>
        </w:tc>
        <w:tc>
          <w:tcPr>
            <w:tcW w:w="78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33.0%</w:t>
            </w:r>
          </w:p>
        </w:tc>
        <w:tc>
          <w:tcPr>
            <w:tcW w:w="120" w:type="dxa"/>
            <w:vAlign w:val="bottom"/>
          </w:tcPr>
          <w:p>
            <w:pPr>
              <w:spacing w:after="0"/>
              <w:rPr>
                <w:sz w:val="12"/>
                <w:szCs w:val="12"/>
                <w:color w:val="auto"/>
              </w:rPr>
            </w:pPr>
          </w:p>
        </w:tc>
        <w:tc>
          <w:tcPr>
            <w:tcW w:w="7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33.3%</w:t>
            </w:r>
          </w:p>
        </w:tc>
        <w:tc>
          <w:tcPr>
            <w:tcW w:w="120" w:type="dxa"/>
            <w:vAlign w:val="bottom"/>
          </w:tcPr>
          <w:p>
            <w:pPr>
              <w:spacing w:after="0"/>
              <w:rPr>
                <w:sz w:val="12"/>
                <w:szCs w:val="12"/>
                <w:color w:val="auto"/>
              </w:rPr>
            </w:pPr>
          </w:p>
        </w:tc>
        <w:tc>
          <w:tcPr>
            <w:tcW w:w="78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34.0%</w:t>
            </w:r>
          </w:p>
        </w:tc>
        <w:tc>
          <w:tcPr>
            <w:tcW w:w="120" w:type="dxa"/>
            <w:vAlign w:val="bottom"/>
          </w:tcPr>
          <w:p>
            <w:pPr>
              <w:spacing w:after="0"/>
              <w:rPr>
                <w:sz w:val="12"/>
                <w:szCs w:val="12"/>
                <w:color w:val="auto"/>
              </w:rPr>
            </w:pPr>
          </w:p>
        </w:tc>
        <w:tc>
          <w:tcPr>
            <w:tcW w:w="6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33.3%</w:t>
            </w:r>
          </w:p>
        </w:tc>
        <w:tc>
          <w:tcPr>
            <w:tcW w:w="0" w:type="dxa"/>
            <w:vAlign w:val="bottom"/>
          </w:tcPr>
          <w:p>
            <w:pPr>
              <w:spacing w:after="0"/>
              <w:rPr>
                <w:sz w:val="1"/>
                <w:szCs w:val="1"/>
                <w:color w:val="auto"/>
              </w:rPr>
            </w:pPr>
          </w:p>
        </w:tc>
      </w:tr>
      <w:tr>
        <w:trPr>
          <w:trHeight w:val="126"/>
        </w:trPr>
        <w:tc>
          <w:tcPr>
            <w:tcW w:w="2380" w:type="dxa"/>
            <w:vAlign w:val="bottom"/>
            <w:gridSpan w:val="5"/>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Restructuring and other (credits)</w:t>
            </w: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vMerge w:val="restart"/>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w:t>
            </w: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vMerge w:val="restart"/>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vMerge w:val="restart"/>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88</w:t>
            </w:r>
          </w:p>
        </w:tc>
        <w:tc>
          <w:tcPr>
            <w:tcW w:w="120" w:type="dxa"/>
            <w:vAlign w:val="bottom"/>
            <w:vMerge w:val="restart"/>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w:t>
            </w: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38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4"/>
                <w:szCs w:val="14"/>
                <w:color w:val="auto"/>
              </w:rPr>
              <w:t>charges</w:t>
            </w:r>
          </w:p>
        </w:tc>
        <w:tc>
          <w:tcPr>
            <w:tcW w:w="140" w:type="dxa"/>
            <w:vAlign w:val="bottom"/>
            <w:vMerge w:val="continue"/>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120" w:type="dxa"/>
            <w:vAlign w:val="bottom"/>
            <w:vMerge w:val="continue"/>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120" w:type="dxa"/>
            <w:vAlign w:val="bottom"/>
            <w:vMerge w:val="continue"/>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120" w:type="dxa"/>
            <w:vAlign w:val="bottom"/>
            <w:vMerge w:val="continue"/>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140" w:type="dxa"/>
            <w:vAlign w:val="bottom"/>
            <w:vMerge w:val="continue"/>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120" w:type="dxa"/>
            <w:vAlign w:val="bottom"/>
            <w:vMerge w:val="continue"/>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120" w:type="dxa"/>
            <w:vAlign w:val="bottom"/>
            <w:vMerge w:val="continue"/>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120" w:type="dxa"/>
            <w:vAlign w:val="bottom"/>
            <w:vMerge w:val="continue"/>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120" w:type="dxa"/>
            <w:vAlign w:val="bottom"/>
            <w:vMerge w:val="continue"/>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120" w:type="dxa"/>
            <w:vAlign w:val="bottom"/>
            <w:vMerge w:val="continue"/>
            <w:shd w:val="clear" w:color="auto" w:fill="CCEEFF"/>
          </w:tcPr>
          <w:p>
            <w:pPr>
              <w:spacing w:after="0"/>
              <w:rPr>
                <w:sz w:val="14"/>
                <w:szCs w:val="14"/>
                <w:color w:val="auto"/>
              </w:rPr>
            </w:pPr>
          </w:p>
        </w:tc>
        <w:tc>
          <w:tcPr>
            <w:tcW w:w="54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380" w:type="dxa"/>
            <w:vAlign w:val="bottom"/>
            <w:gridSpan w:val="5"/>
          </w:tcPr>
          <w:p>
            <w:pPr>
              <w:spacing w:after="0"/>
              <w:rPr>
                <w:sz w:val="20"/>
                <w:szCs w:val="20"/>
                <w:color w:val="auto"/>
              </w:rPr>
            </w:pPr>
            <w:r>
              <w:rPr>
                <w:rFonts w:ascii="Times New Roman" w:cs="Times New Roman" w:eastAsia="Times New Roman" w:hAnsi="Times New Roman"/>
                <w:sz w:val="14"/>
                <w:szCs w:val="14"/>
                <w:color w:val="auto"/>
              </w:rPr>
              <w:t>Capital expenditures</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55</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33</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55</w:t>
            </w:r>
          </w:p>
        </w:tc>
        <w:tc>
          <w:tcPr>
            <w:tcW w:w="1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76</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219</w:t>
            </w:r>
          </w:p>
        </w:tc>
        <w:tc>
          <w:tcPr>
            <w:tcW w:w="1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86</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75</w:t>
            </w:r>
          </w:p>
        </w:tc>
        <w:tc>
          <w:tcPr>
            <w:tcW w:w="1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74</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84</w:t>
            </w:r>
          </w:p>
        </w:tc>
        <w:tc>
          <w:tcPr>
            <w:tcW w:w="1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9"/>
        </w:trPr>
        <w:tc>
          <w:tcPr>
            <w:tcW w:w="9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CCEEFF"/>
            </w:tcBorders>
            <w:shd w:val="clear" w:color="auto" w:fill="CCEEFF"/>
          </w:tcPr>
          <w:p>
            <w:pPr>
              <w:spacing w:after="0"/>
              <w:rPr>
                <w:sz w:val="11"/>
                <w:szCs w:val="11"/>
                <w:color w:val="auto"/>
              </w:rPr>
            </w:pPr>
          </w:p>
        </w:tc>
        <w:tc>
          <w:tcPr>
            <w:tcW w:w="100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spacing w:after="0"/>
              <w:rPr>
                <w:sz w:val="11"/>
                <w:szCs w:val="11"/>
                <w:color w:val="auto"/>
              </w:rPr>
            </w:pPr>
          </w:p>
        </w:tc>
        <w:tc>
          <w:tcPr>
            <w:tcW w:w="24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spacing w:after="0"/>
              <w:rPr>
                <w:sz w:val="11"/>
                <w:szCs w:val="11"/>
                <w:color w:val="auto"/>
              </w:rPr>
            </w:pPr>
          </w:p>
        </w:tc>
        <w:tc>
          <w:tcPr>
            <w:tcW w:w="24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spacing w:after="0"/>
              <w:rPr>
                <w:sz w:val="11"/>
                <w:szCs w:val="11"/>
                <w:color w:val="auto"/>
              </w:rPr>
            </w:pPr>
          </w:p>
        </w:tc>
        <w:tc>
          <w:tcPr>
            <w:tcW w:w="24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spacing w:after="0"/>
              <w:rPr>
                <w:sz w:val="11"/>
                <w:szCs w:val="11"/>
                <w:color w:val="auto"/>
              </w:rPr>
            </w:pPr>
          </w:p>
        </w:tc>
        <w:tc>
          <w:tcPr>
            <w:tcW w:w="24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spacing w:after="0"/>
              <w:rPr>
                <w:sz w:val="11"/>
                <w:szCs w:val="11"/>
                <w:color w:val="auto"/>
              </w:rPr>
            </w:pPr>
          </w:p>
        </w:tc>
        <w:tc>
          <w:tcPr>
            <w:tcW w:w="24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140" w:type="dxa"/>
            <w:vAlign w:val="bottom"/>
            <w:tcBorders>
              <w:bottom w:val="single" w:sz="8" w:color="auto"/>
            </w:tcBorders>
            <w:gridSpan w:val="3"/>
          </w:tcPr>
          <w:p>
            <w:pPr>
              <w:spacing w:after="0" w:line="135" w:lineRule="exact"/>
              <w:rPr>
                <w:sz w:val="20"/>
                <w:szCs w:val="20"/>
                <w:color w:val="auto"/>
              </w:rPr>
            </w:pPr>
            <w:r>
              <w:rPr>
                <w:rFonts w:ascii="Times New Roman" w:cs="Times New Roman" w:eastAsia="Times New Roman" w:hAnsi="Times New Roman"/>
                <w:sz w:val="14"/>
                <w:szCs w:val="14"/>
                <w:b w:val="1"/>
                <w:bCs w:val="1"/>
                <w:color w:val="auto"/>
              </w:rPr>
              <w:t>Fastening Systems</w:t>
            </w:r>
          </w:p>
        </w:tc>
        <w:tc>
          <w:tcPr>
            <w:tcW w:w="1240" w:type="dxa"/>
            <w:vAlign w:val="bottom"/>
            <w:gridSpan w:val="2"/>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380" w:type="dxa"/>
            <w:vAlign w:val="bottom"/>
            <w:gridSpan w:val="5"/>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Third-party sales</w:t>
            </w:r>
          </w:p>
        </w:tc>
        <w:tc>
          <w:tcPr>
            <w:tcW w:w="14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gridSpan w:val="2"/>
            <w:shd w:val="clear" w:color="auto" w:fill="CCEEFF"/>
          </w:tcPr>
          <w:p>
            <w:pPr>
              <w:jc w:val="right"/>
              <w:ind w:right="240"/>
              <w:spacing w:after="0" w:line="142" w:lineRule="exact"/>
              <w:rPr>
                <w:sz w:val="20"/>
                <w:szCs w:val="20"/>
                <w:color w:val="auto"/>
              </w:rPr>
            </w:pPr>
            <w:r>
              <w:rPr>
                <w:rFonts w:ascii="Times New Roman" w:cs="Times New Roman" w:eastAsia="Times New Roman" w:hAnsi="Times New Roman"/>
                <w:sz w:val="14"/>
                <w:szCs w:val="14"/>
                <w:color w:val="auto"/>
              </w:rPr>
              <w:t>389</w:t>
            </w:r>
          </w:p>
        </w:tc>
        <w:tc>
          <w:tcPr>
            <w:tcW w:w="12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gridSpan w:val="2"/>
            <w:shd w:val="clear" w:color="auto" w:fill="CCEEFF"/>
          </w:tcPr>
          <w:p>
            <w:pPr>
              <w:jc w:val="right"/>
              <w:ind w:right="220"/>
              <w:spacing w:after="0" w:line="142" w:lineRule="exact"/>
              <w:rPr>
                <w:sz w:val="20"/>
                <w:szCs w:val="20"/>
                <w:color w:val="auto"/>
              </w:rPr>
            </w:pPr>
            <w:r>
              <w:rPr>
                <w:rFonts w:ascii="Times New Roman" w:cs="Times New Roman" w:eastAsia="Times New Roman" w:hAnsi="Times New Roman"/>
                <w:sz w:val="14"/>
                <w:szCs w:val="14"/>
                <w:color w:val="auto"/>
              </w:rPr>
              <w:t>394</w:t>
            </w:r>
          </w:p>
        </w:tc>
        <w:tc>
          <w:tcPr>
            <w:tcW w:w="12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gridSpan w:val="2"/>
            <w:shd w:val="clear" w:color="auto" w:fill="CCEEFF"/>
          </w:tcPr>
          <w:p>
            <w:pPr>
              <w:jc w:val="right"/>
              <w:ind w:right="240"/>
              <w:spacing w:after="0" w:line="142" w:lineRule="exact"/>
              <w:rPr>
                <w:sz w:val="20"/>
                <w:szCs w:val="20"/>
                <w:color w:val="auto"/>
              </w:rPr>
            </w:pPr>
            <w:r>
              <w:rPr>
                <w:rFonts w:ascii="Times New Roman" w:cs="Times New Roman" w:eastAsia="Times New Roman" w:hAnsi="Times New Roman"/>
                <w:sz w:val="14"/>
                <w:szCs w:val="14"/>
                <w:color w:val="auto"/>
              </w:rPr>
              <w:t>392</w:t>
            </w:r>
          </w:p>
        </w:tc>
        <w:tc>
          <w:tcPr>
            <w:tcW w:w="1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gridSpan w:val="2"/>
            <w:shd w:val="clear" w:color="auto" w:fill="CCEEFF"/>
          </w:tcPr>
          <w:p>
            <w:pPr>
              <w:jc w:val="right"/>
              <w:ind w:right="220"/>
              <w:spacing w:after="0" w:line="142" w:lineRule="exact"/>
              <w:rPr>
                <w:sz w:val="20"/>
                <w:szCs w:val="20"/>
                <w:color w:val="auto"/>
              </w:rPr>
            </w:pPr>
            <w:r>
              <w:rPr>
                <w:rFonts w:ascii="Times New Roman" w:cs="Times New Roman" w:eastAsia="Times New Roman" w:hAnsi="Times New Roman"/>
                <w:sz w:val="14"/>
                <w:szCs w:val="14"/>
                <w:color w:val="auto"/>
              </w:rPr>
              <w:t>401</w:t>
            </w:r>
          </w:p>
        </w:tc>
        <w:tc>
          <w:tcPr>
            <w:tcW w:w="14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gridSpan w:val="2"/>
            <w:shd w:val="clear" w:color="auto" w:fill="CCEEFF"/>
          </w:tcPr>
          <w:p>
            <w:pPr>
              <w:jc w:val="right"/>
              <w:ind w:right="240"/>
              <w:spacing w:after="0" w:line="142" w:lineRule="exact"/>
              <w:rPr>
                <w:sz w:val="20"/>
                <w:szCs w:val="20"/>
                <w:color w:val="auto"/>
              </w:rPr>
            </w:pPr>
            <w:r>
              <w:rPr>
                <w:rFonts w:ascii="Times New Roman" w:cs="Times New Roman" w:eastAsia="Times New Roman" w:hAnsi="Times New Roman"/>
                <w:sz w:val="14"/>
                <w:szCs w:val="14"/>
                <w:color w:val="auto"/>
              </w:rPr>
              <w:t>1,576</w:t>
            </w:r>
          </w:p>
        </w:tc>
        <w:tc>
          <w:tcPr>
            <w:tcW w:w="1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gridSpan w:val="2"/>
            <w:shd w:val="clear" w:color="auto" w:fill="CCEEFF"/>
          </w:tcPr>
          <w:p>
            <w:pPr>
              <w:jc w:val="right"/>
              <w:ind w:right="220"/>
              <w:spacing w:after="0" w:line="142" w:lineRule="exact"/>
              <w:rPr>
                <w:sz w:val="20"/>
                <w:szCs w:val="20"/>
                <w:color w:val="auto"/>
              </w:rPr>
            </w:pPr>
            <w:r>
              <w:rPr>
                <w:rFonts w:ascii="Times New Roman" w:cs="Times New Roman" w:eastAsia="Times New Roman" w:hAnsi="Times New Roman"/>
                <w:sz w:val="14"/>
                <w:szCs w:val="14"/>
                <w:color w:val="auto"/>
              </w:rPr>
              <w:t>412</w:t>
            </w:r>
          </w:p>
        </w:tc>
        <w:tc>
          <w:tcPr>
            <w:tcW w:w="12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gridSpan w:val="2"/>
            <w:shd w:val="clear" w:color="auto" w:fill="CCEEFF"/>
          </w:tcPr>
          <w:p>
            <w:pPr>
              <w:jc w:val="right"/>
              <w:ind w:right="240"/>
              <w:spacing w:after="0" w:line="142" w:lineRule="exact"/>
              <w:rPr>
                <w:sz w:val="20"/>
                <w:szCs w:val="20"/>
                <w:color w:val="auto"/>
              </w:rPr>
            </w:pPr>
            <w:r>
              <w:rPr>
                <w:rFonts w:ascii="Times New Roman" w:cs="Times New Roman" w:eastAsia="Times New Roman" w:hAnsi="Times New Roman"/>
                <w:sz w:val="14"/>
                <w:szCs w:val="14"/>
                <w:color w:val="auto"/>
              </w:rPr>
              <w:t>431</w:t>
            </w:r>
          </w:p>
        </w:tc>
        <w:tc>
          <w:tcPr>
            <w:tcW w:w="1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gridSpan w:val="2"/>
            <w:shd w:val="clear" w:color="auto" w:fill="CCEEFF"/>
          </w:tcPr>
          <w:p>
            <w:pPr>
              <w:jc w:val="right"/>
              <w:ind w:right="220"/>
              <w:spacing w:after="0" w:line="142" w:lineRule="exact"/>
              <w:rPr>
                <w:sz w:val="20"/>
                <w:szCs w:val="20"/>
                <w:color w:val="auto"/>
              </w:rPr>
            </w:pPr>
            <w:r>
              <w:rPr>
                <w:rFonts w:ascii="Times New Roman" w:cs="Times New Roman" w:eastAsia="Times New Roman" w:hAnsi="Times New Roman"/>
                <w:sz w:val="14"/>
                <w:szCs w:val="14"/>
                <w:color w:val="auto"/>
              </w:rPr>
              <w:t>448</w:t>
            </w:r>
          </w:p>
        </w:tc>
        <w:tc>
          <w:tcPr>
            <w:tcW w:w="12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gridSpan w:val="2"/>
            <w:shd w:val="clear" w:color="auto" w:fill="CCEEFF"/>
          </w:tcPr>
          <w:p>
            <w:pPr>
              <w:jc w:val="right"/>
              <w:ind w:right="240"/>
              <w:spacing w:after="0" w:line="142" w:lineRule="exact"/>
              <w:rPr>
                <w:sz w:val="20"/>
                <w:szCs w:val="20"/>
                <w:color w:val="auto"/>
              </w:rPr>
            </w:pPr>
            <w:r>
              <w:rPr>
                <w:rFonts w:ascii="Times New Roman" w:cs="Times New Roman" w:eastAsia="Times New Roman" w:hAnsi="Times New Roman"/>
                <w:sz w:val="14"/>
                <w:szCs w:val="14"/>
                <w:color w:val="auto"/>
              </w:rPr>
              <w:t>454</w:t>
            </w:r>
          </w:p>
        </w:tc>
        <w:tc>
          <w:tcPr>
            <w:tcW w:w="1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1,745</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380" w:type="dxa"/>
            <w:vAlign w:val="bottom"/>
            <w:gridSpan w:val="5"/>
          </w:tcPr>
          <w:p>
            <w:pPr>
              <w:spacing w:after="0" w:line="149" w:lineRule="exact"/>
              <w:rPr>
                <w:sz w:val="20"/>
                <w:szCs w:val="20"/>
                <w:color w:val="auto"/>
              </w:rPr>
            </w:pPr>
            <w:r>
              <w:rPr>
                <w:rFonts w:ascii="Times New Roman" w:cs="Times New Roman" w:eastAsia="Times New Roman" w:hAnsi="Times New Roman"/>
                <w:sz w:val="14"/>
                <w:szCs w:val="14"/>
                <w:color w:val="auto"/>
              </w:rPr>
              <w:t>Inter-segment sales</w:t>
            </w:r>
          </w:p>
        </w:tc>
        <w:tc>
          <w:tcPr>
            <w:tcW w:w="1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w:t>
            </w:r>
          </w:p>
        </w:tc>
        <w:tc>
          <w:tcPr>
            <w:tcW w:w="1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1</w:t>
            </w:r>
          </w:p>
        </w:tc>
        <w:tc>
          <w:tcPr>
            <w:tcW w:w="1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1</w:t>
            </w:r>
          </w:p>
        </w:tc>
        <w:tc>
          <w:tcPr>
            <w:tcW w:w="1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380" w:type="dxa"/>
            <w:vAlign w:val="bottom"/>
            <w:gridSpan w:val="5"/>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Provision for depreciation and</w:t>
            </w: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11</w:t>
            </w: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13</w:t>
            </w: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12</w:t>
            </w:r>
          </w:p>
        </w:tc>
        <w:tc>
          <w:tcPr>
            <w:tcW w:w="120" w:type="dxa"/>
            <w:vAlign w:val="bottom"/>
            <w:vMerge w:val="restart"/>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11</w:t>
            </w: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47</w:t>
            </w:r>
          </w:p>
        </w:tc>
        <w:tc>
          <w:tcPr>
            <w:tcW w:w="120" w:type="dxa"/>
            <w:vAlign w:val="bottom"/>
            <w:vMerge w:val="restart"/>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12</w:t>
            </w: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12</w:t>
            </w:r>
          </w:p>
        </w:tc>
        <w:tc>
          <w:tcPr>
            <w:tcW w:w="120" w:type="dxa"/>
            <w:vAlign w:val="bottom"/>
            <w:vMerge w:val="restart"/>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12</w:t>
            </w: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12</w:t>
            </w:r>
          </w:p>
        </w:tc>
        <w:tc>
          <w:tcPr>
            <w:tcW w:w="120" w:type="dxa"/>
            <w:vAlign w:val="bottom"/>
            <w:vMerge w:val="restart"/>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w:t>
            </w: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38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4"/>
                <w:szCs w:val="14"/>
                <w:color w:val="auto"/>
              </w:rPr>
              <w:t>amortization</w:t>
            </w:r>
          </w:p>
        </w:tc>
        <w:tc>
          <w:tcPr>
            <w:tcW w:w="140" w:type="dxa"/>
            <w:vAlign w:val="bottom"/>
            <w:vMerge w:val="continue"/>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120" w:type="dxa"/>
            <w:vAlign w:val="bottom"/>
            <w:vMerge w:val="continue"/>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120" w:type="dxa"/>
            <w:vAlign w:val="bottom"/>
            <w:vMerge w:val="continue"/>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120" w:type="dxa"/>
            <w:vAlign w:val="bottom"/>
            <w:vMerge w:val="continue"/>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140" w:type="dxa"/>
            <w:vAlign w:val="bottom"/>
            <w:vMerge w:val="continue"/>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120" w:type="dxa"/>
            <w:vAlign w:val="bottom"/>
            <w:vMerge w:val="continue"/>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120" w:type="dxa"/>
            <w:vAlign w:val="bottom"/>
            <w:vMerge w:val="continue"/>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120" w:type="dxa"/>
            <w:vAlign w:val="bottom"/>
            <w:vMerge w:val="continue"/>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120" w:type="dxa"/>
            <w:vAlign w:val="bottom"/>
            <w:vMerge w:val="continue"/>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120" w:type="dxa"/>
            <w:vAlign w:val="bottom"/>
            <w:vMerge w:val="continue"/>
            <w:shd w:val="clear" w:color="auto" w:fill="CCEEFF"/>
          </w:tcPr>
          <w:p>
            <w:pPr>
              <w:spacing w:after="0"/>
              <w:rPr>
                <w:sz w:val="14"/>
                <w:szCs w:val="14"/>
                <w:color w:val="auto"/>
              </w:rPr>
            </w:pPr>
          </w:p>
        </w:tc>
        <w:tc>
          <w:tcPr>
            <w:tcW w:w="54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380" w:type="dxa"/>
            <w:vAlign w:val="bottom"/>
            <w:gridSpan w:val="5"/>
          </w:tcPr>
          <w:p>
            <w:pPr>
              <w:spacing w:after="0" w:line="149" w:lineRule="exact"/>
              <w:rPr>
                <w:sz w:val="20"/>
                <w:szCs w:val="20"/>
                <w:color w:val="auto"/>
              </w:rPr>
            </w:pPr>
            <w:r>
              <w:rPr>
                <w:rFonts w:ascii="Times New Roman" w:cs="Times New Roman" w:eastAsia="Times New Roman" w:hAnsi="Times New Roman"/>
                <w:sz w:val="14"/>
                <w:szCs w:val="14"/>
                <w:color w:val="auto"/>
              </w:rPr>
              <w:t>Segment Adjusted EBITDA</w:t>
            </w:r>
          </w:p>
        </w:tc>
        <w:tc>
          <w:tcPr>
            <w:tcW w:w="1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92</w:t>
            </w:r>
          </w:p>
        </w:tc>
        <w:tc>
          <w:tcPr>
            <w:tcW w:w="1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101</w:t>
            </w:r>
          </w:p>
        </w:tc>
        <w:tc>
          <w:tcPr>
            <w:tcW w:w="1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102</w:t>
            </w:r>
          </w:p>
        </w:tc>
        <w:tc>
          <w:tcPr>
            <w:tcW w:w="1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111</w:t>
            </w:r>
          </w:p>
        </w:tc>
        <w:tc>
          <w:tcPr>
            <w:tcW w:w="1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406</w:t>
            </w:r>
          </w:p>
        </w:tc>
        <w:tc>
          <w:tcPr>
            <w:tcW w:w="1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127</w:t>
            </w:r>
          </w:p>
        </w:tc>
        <w:tc>
          <w:tcPr>
            <w:tcW w:w="1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126</w:t>
            </w:r>
          </w:p>
        </w:tc>
        <w:tc>
          <w:tcPr>
            <w:tcW w:w="1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138</w:t>
            </w:r>
          </w:p>
        </w:tc>
        <w:tc>
          <w:tcPr>
            <w:tcW w:w="1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139</w:t>
            </w:r>
          </w:p>
        </w:tc>
        <w:tc>
          <w:tcPr>
            <w:tcW w:w="1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530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380" w:type="dxa"/>
            <w:vAlign w:val="bottom"/>
            <w:gridSpan w:val="5"/>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Segment Adjusted EBITDA Margin</w:t>
            </w:r>
          </w:p>
        </w:tc>
        <w:tc>
          <w:tcPr>
            <w:tcW w:w="1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23.7%</w:t>
            </w:r>
          </w:p>
        </w:tc>
        <w:tc>
          <w:tcPr>
            <w:tcW w:w="1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25.6%</w:t>
            </w:r>
          </w:p>
        </w:tc>
        <w:tc>
          <w:tcPr>
            <w:tcW w:w="1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26.0%</w:t>
            </w:r>
          </w:p>
        </w:tc>
        <w:tc>
          <w:tcPr>
            <w:tcW w:w="1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27.7%</w:t>
            </w:r>
          </w:p>
        </w:tc>
        <w:tc>
          <w:tcPr>
            <w:tcW w:w="14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25.8%</w:t>
            </w:r>
          </w:p>
        </w:tc>
        <w:tc>
          <w:tcPr>
            <w:tcW w:w="1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30.8%</w:t>
            </w:r>
          </w:p>
        </w:tc>
        <w:tc>
          <w:tcPr>
            <w:tcW w:w="1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29.2%</w:t>
            </w:r>
          </w:p>
        </w:tc>
        <w:tc>
          <w:tcPr>
            <w:tcW w:w="1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30.8%</w:t>
            </w:r>
          </w:p>
        </w:tc>
        <w:tc>
          <w:tcPr>
            <w:tcW w:w="1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30.6%</w:t>
            </w:r>
          </w:p>
        </w:tc>
        <w:tc>
          <w:tcPr>
            <w:tcW w:w="1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30.4%</w:t>
            </w:r>
          </w:p>
        </w:tc>
        <w:tc>
          <w:tcPr>
            <w:tcW w:w="0" w:type="dxa"/>
            <w:vAlign w:val="bottom"/>
          </w:tcPr>
          <w:p>
            <w:pPr>
              <w:spacing w:after="0"/>
              <w:rPr>
                <w:sz w:val="1"/>
                <w:szCs w:val="1"/>
                <w:color w:val="auto"/>
              </w:rPr>
            </w:pPr>
          </w:p>
        </w:tc>
      </w:tr>
      <w:tr>
        <w:trPr>
          <w:trHeight w:val="126"/>
        </w:trPr>
        <w:tc>
          <w:tcPr>
            <w:tcW w:w="2380" w:type="dxa"/>
            <w:vAlign w:val="bottom"/>
            <w:gridSpan w:val="5"/>
          </w:tcPr>
          <w:p>
            <w:pPr>
              <w:spacing w:after="0" w:line="126" w:lineRule="exact"/>
              <w:rPr>
                <w:sz w:val="20"/>
                <w:szCs w:val="20"/>
                <w:color w:val="auto"/>
              </w:rPr>
            </w:pPr>
            <w:r>
              <w:rPr>
                <w:rFonts w:ascii="Times New Roman" w:cs="Times New Roman" w:eastAsia="Times New Roman" w:hAnsi="Times New Roman"/>
                <w:sz w:val="14"/>
                <w:szCs w:val="14"/>
                <w:color w:val="auto"/>
              </w:rPr>
              <w:t>Restructuring and other charges</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2</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vMerge w:val="restart"/>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2</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5</w:t>
            </w:r>
          </w:p>
        </w:tc>
        <w:tc>
          <w:tcPr>
            <w:tcW w:w="120" w:type="dxa"/>
            <w:vAlign w:val="bottom"/>
            <w:vMerge w:val="restart"/>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vMerge w:val="restart"/>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vMerge w:val="restart"/>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2380" w:type="dxa"/>
            <w:vAlign w:val="bottom"/>
            <w:gridSpan w:val="5"/>
          </w:tcPr>
          <w:p>
            <w:pPr>
              <w:spacing w:after="0"/>
              <w:rPr>
                <w:sz w:val="20"/>
                <w:szCs w:val="20"/>
                <w:color w:val="auto"/>
              </w:rPr>
            </w:pPr>
            <w:r>
              <w:rPr>
                <w:rFonts w:ascii="Times New Roman" w:cs="Times New Roman" w:eastAsia="Times New Roman" w:hAnsi="Times New Roman"/>
                <w:sz w:val="14"/>
                <w:szCs w:val="14"/>
                <w:color w:val="auto"/>
              </w:rPr>
              <w:t>(credits)</w:t>
            </w:r>
          </w:p>
        </w:tc>
        <w:tc>
          <w:tcPr>
            <w:tcW w:w="140" w:type="dxa"/>
            <w:vAlign w:val="bottom"/>
            <w:vMerge w:val="continue"/>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140" w:type="dxa"/>
            <w:vAlign w:val="bottom"/>
            <w:vMerge w:val="continue"/>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38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4"/>
                <w:szCs w:val="14"/>
                <w:color w:val="auto"/>
              </w:rPr>
              <w:t>Capital expenditures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7</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5</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5</w:t>
            </w:r>
          </w:p>
        </w:tc>
        <w:tc>
          <w:tcPr>
            <w:tcW w:w="1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9</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26</w:t>
            </w:r>
          </w:p>
        </w:tc>
        <w:tc>
          <w:tcPr>
            <w:tcW w:w="1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9</w:t>
            </w:r>
          </w:p>
        </w:tc>
        <w:tc>
          <w:tcPr>
            <w:tcW w:w="1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13</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20</w:t>
            </w:r>
          </w:p>
        </w:tc>
        <w:tc>
          <w:tcPr>
            <w:tcW w:w="1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w:t>
            </w: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9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380" w:type="dxa"/>
            <w:vAlign w:val="bottom"/>
            <w:gridSpan w:val="5"/>
            <w:shd w:val="clear" w:color="auto" w:fill="CCEEFF"/>
          </w:tcPr>
          <w:p>
            <w:pPr>
              <w:spacing w:after="0" w:line="135" w:lineRule="exact"/>
              <w:rPr>
                <w:sz w:val="20"/>
                <w:szCs w:val="20"/>
                <w:color w:val="auto"/>
              </w:rPr>
            </w:pPr>
            <w:r>
              <w:rPr>
                <w:rFonts w:ascii="Times New Roman" w:cs="Times New Roman" w:eastAsia="Times New Roman" w:hAnsi="Times New Roman"/>
                <w:sz w:val="14"/>
                <w:szCs w:val="14"/>
                <w:b w:val="1"/>
                <w:bCs w:val="1"/>
                <w:color w:val="auto"/>
              </w:rPr>
              <w:t>Engineered Structures</w:t>
            </w: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1380" w:type="dxa"/>
            <w:vAlign w:val="bottom"/>
            <w:tcBorders>
              <w:top w:val="single" w:sz="8" w:color="auto"/>
            </w:tcBorders>
            <w:gridSpan w:val="4"/>
          </w:tcPr>
          <w:p>
            <w:pPr>
              <w:spacing w:after="0" w:line="142" w:lineRule="exact"/>
              <w:rPr>
                <w:sz w:val="20"/>
                <w:szCs w:val="20"/>
                <w:color w:val="auto"/>
              </w:rPr>
            </w:pPr>
            <w:r>
              <w:rPr>
                <w:rFonts w:ascii="Times New Roman" w:cs="Times New Roman" w:eastAsia="Times New Roman" w:hAnsi="Times New Roman"/>
                <w:sz w:val="14"/>
                <w:szCs w:val="14"/>
                <w:color w:val="auto"/>
              </w:rPr>
              <w:t>Third-party sales</w:t>
            </w:r>
          </w:p>
        </w:tc>
        <w:tc>
          <w:tcPr>
            <w:tcW w:w="1000" w:type="dxa"/>
            <w:vAlign w:val="bottom"/>
            <w:tcBorders>
              <w:top w:val="single" w:sz="8" w:color="CCEEFF"/>
            </w:tcBorders>
          </w:tcPr>
          <w:p>
            <w:pPr>
              <w:spacing w:after="0"/>
              <w:rPr>
                <w:sz w:val="12"/>
                <w:szCs w:val="12"/>
                <w:color w:val="auto"/>
              </w:rPr>
            </w:pPr>
          </w:p>
        </w:tc>
        <w:tc>
          <w:tcPr>
            <w:tcW w:w="140" w:type="dxa"/>
            <w:vAlign w:val="bottom"/>
            <w:tcBorders>
              <w:top w:val="single" w:sz="8" w:color="CCEEFF"/>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CCEEFF"/>
            </w:tcBorders>
            <w:gridSpan w:val="2"/>
          </w:tcPr>
          <w:p>
            <w:pPr>
              <w:jc w:val="right"/>
              <w:ind w:right="240"/>
              <w:spacing w:after="0" w:line="142" w:lineRule="exact"/>
              <w:rPr>
                <w:sz w:val="20"/>
                <w:szCs w:val="20"/>
                <w:color w:val="auto"/>
              </w:rPr>
            </w:pPr>
            <w:r>
              <w:rPr>
                <w:rFonts w:ascii="Times New Roman" w:cs="Times New Roman" w:eastAsia="Times New Roman" w:hAnsi="Times New Roman"/>
                <w:sz w:val="14"/>
                <w:szCs w:val="14"/>
                <w:color w:val="auto"/>
              </w:rPr>
              <w:t>262</w:t>
            </w:r>
          </w:p>
        </w:tc>
        <w:tc>
          <w:tcPr>
            <w:tcW w:w="120" w:type="dxa"/>
            <w:vAlign w:val="bottom"/>
            <w:tcBorders>
              <w:top w:val="single" w:sz="8" w:color="CCEEFF"/>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CCEEFF"/>
            </w:tcBorders>
            <w:gridSpan w:val="2"/>
          </w:tcPr>
          <w:p>
            <w:pPr>
              <w:jc w:val="right"/>
              <w:ind w:right="220"/>
              <w:spacing w:after="0" w:line="142" w:lineRule="exact"/>
              <w:rPr>
                <w:sz w:val="20"/>
                <w:szCs w:val="20"/>
                <w:color w:val="auto"/>
              </w:rPr>
            </w:pPr>
            <w:r>
              <w:rPr>
                <w:rFonts w:ascii="Times New Roman" w:cs="Times New Roman" w:eastAsia="Times New Roman" w:hAnsi="Times New Roman"/>
                <w:sz w:val="14"/>
                <w:szCs w:val="14"/>
                <w:color w:val="auto"/>
              </w:rPr>
              <w:t>275</w:t>
            </w:r>
          </w:p>
        </w:tc>
        <w:tc>
          <w:tcPr>
            <w:tcW w:w="120" w:type="dxa"/>
            <w:vAlign w:val="bottom"/>
            <w:tcBorders>
              <w:top w:val="single" w:sz="8" w:color="CCEEFF"/>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CCEEFF"/>
            </w:tcBorders>
            <w:gridSpan w:val="2"/>
          </w:tcPr>
          <w:p>
            <w:pPr>
              <w:jc w:val="right"/>
              <w:ind w:right="240"/>
              <w:spacing w:after="0" w:line="142" w:lineRule="exact"/>
              <w:rPr>
                <w:sz w:val="20"/>
                <w:szCs w:val="20"/>
                <w:color w:val="auto"/>
              </w:rPr>
            </w:pPr>
            <w:r>
              <w:rPr>
                <w:rFonts w:ascii="Times New Roman" w:cs="Times New Roman" w:eastAsia="Times New Roman" w:hAnsi="Times New Roman"/>
                <w:sz w:val="14"/>
                <w:szCs w:val="14"/>
                <w:color w:val="auto"/>
              </w:rPr>
              <w:t>253</w:t>
            </w:r>
          </w:p>
        </w:tc>
        <w:tc>
          <w:tcPr>
            <w:tcW w:w="120" w:type="dxa"/>
            <w:vAlign w:val="bottom"/>
            <w:tcBorders>
              <w:top w:val="single" w:sz="8" w:color="CCEEFF"/>
            </w:tcBorders>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top w:val="single" w:sz="8" w:color="CCEEFF"/>
            </w:tcBorders>
            <w:gridSpan w:val="2"/>
          </w:tcPr>
          <w:p>
            <w:pPr>
              <w:jc w:val="right"/>
              <w:ind w:right="220"/>
              <w:spacing w:after="0" w:line="142" w:lineRule="exact"/>
              <w:rPr>
                <w:sz w:val="20"/>
                <w:szCs w:val="20"/>
                <w:color w:val="auto"/>
              </w:rPr>
            </w:pPr>
            <w:r>
              <w:rPr>
                <w:rFonts w:ascii="Times New Roman" w:cs="Times New Roman" w:eastAsia="Times New Roman" w:hAnsi="Times New Roman"/>
                <w:sz w:val="14"/>
                <w:szCs w:val="14"/>
                <w:color w:val="auto"/>
              </w:rPr>
              <w:t>275</w:t>
            </w:r>
          </w:p>
        </w:tc>
        <w:tc>
          <w:tcPr>
            <w:tcW w:w="140" w:type="dxa"/>
            <w:vAlign w:val="bottom"/>
            <w:tcBorders>
              <w:top w:val="single" w:sz="8" w:color="CCEEFF"/>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CCEEFF"/>
            </w:tcBorders>
            <w:gridSpan w:val="2"/>
          </w:tcPr>
          <w:p>
            <w:pPr>
              <w:jc w:val="right"/>
              <w:ind w:right="240"/>
              <w:spacing w:after="0" w:line="142" w:lineRule="exact"/>
              <w:rPr>
                <w:sz w:val="20"/>
                <w:szCs w:val="20"/>
                <w:color w:val="auto"/>
              </w:rPr>
            </w:pPr>
            <w:r>
              <w:rPr>
                <w:rFonts w:ascii="Times New Roman" w:cs="Times New Roman" w:eastAsia="Times New Roman" w:hAnsi="Times New Roman"/>
                <w:sz w:val="14"/>
                <w:szCs w:val="14"/>
                <w:color w:val="auto"/>
              </w:rPr>
              <w:t>1,065</w:t>
            </w:r>
          </w:p>
        </w:tc>
        <w:tc>
          <w:tcPr>
            <w:tcW w:w="120" w:type="dxa"/>
            <w:vAlign w:val="bottom"/>
            <w:tcBorders>
              <w:top w:val="single" w:sz="8" w:color="CCEEFF"/>
            </w:tcBorders>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top w:val="single" w:sz="8" w:color="CCEEFF"/>
            </w:tcBorders>
            <w:gridSpan w:val="2"/>
          </w:tcPr>
          <w:p>
            <w:pPr>
              <w:jc w:val="right"/>
              <w:ind w:right="220"/>
              <w:spacing w:after="0" w:line="142" w:lineRule="exact"/>
              <w:rPr>
                <w:sz w:val="20"/>
                <w:szCs w:val="20"/>
                <w:color w:val="auto"/>
              </w:rPr>
            </w:pPr>
            <w:r>
              <w:rPr>
                <w:rFonts w:ascii="Times New Roman" w:cs="Times New Roman" w:eastAsia="Times New Roman" w:hAnsi="Times New Roman"/>
                <w:sz w:val="14"/>
                <w:szCs w:val="14"/>
                <w:color w:val="auto"/>
              </w:rPr>
              <w:t>282</w:t>
            </w:r>
          </w:p>
        </w:tc>
        <w:tc>
          <w:tcPr>
            <w:tcW w:w="120" w:type="dxa"/>
            <w:vAlign w:val="bottom"/>
            <w:tcBorders>
              <w:top w:val="single" w:sz="8" w:color="CCEEFF"/>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CCEEFF"/>
            </w:tcBorders>
            <w:gridSpan w:val="2"/>
          </w:tcPr>
          <w:p>
            <w:pPr>
              <w:jc w:val="right"/>
              <w:ind w:right="240"/>
              <w:spacing w:after="0" w:line="142" w:lineRule="exact"/>
              <w:rPr>
                <w:sz w:val="20"/>
                <w:szCs w:val="20"/>
                <w:color w:val="auto"/>
              </w:rPr>
            </w:pPr>
            <w:r>
              <w:rPr>
                <w:rFonts w:ascii="Times New Roman" w:cs="Times New Roman" w:eastAsia="Times New Roman" w:hAnsi="Times New Roman"/>
                <w:sz w:val="14"/>
                <w:szCs w:val="14"/>
                <w:color w:val="auto"/>
              </w:rPr>
              <w:t>290</w:t>
            </w:r>
          </w:p>
        </w:tc>
        <w:tc>
          <w:tcPr>
            <w:tcW w:w="120" w:type="dxa"/>
            <w:vAlign w:val="bottom"/>
            <w:tcBorders>
              <w:top w:val="single" w:sz="8" w:color="CCEEFF"/>
            </w:tcBorders>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top w:val="single" w:sz="8" w:color="CCEEFF"/>
            </w:tcBorders>
            <w:gridSpan w:val="2"/>
          </w:tcPr>
          <w:p>
            <w:pPr>
              <w:jc w:val="right"/>
              <w:ind w:right="220"/>
              <w:spacing w:after="0" w:line="142" w:lineRule="exact"/>
              <w:rPr>
                <w:sz w:val="20"/>
                <w:szCs w:val="20"/>
                <w:color w:val="auto"/>
              </w:rPr>
            </w:pPr>
            <w:r>
              <w:rPr>
                <w:rFonts w:ascii="Times New Roman" w:cs="Times New Roman" w:eastAsia="Times New Roman" w:hAnsi="Times New Roman"/>
                <w:sz w:val="14"/>
                <w:szCs w:val="14"/>
                <w:color w:val="auto"/>
              </w:rPr>
              <w:t>289</w:t>
            </w:r>
          </w:p>
        </w:tc>
        <w:tc>
          <w:tcPr>
            <w:tcW w:w="120" w:type="dxa"/>
            <w:vAlign w:val="bottom"/>
            <w:tcBorders>
              <w:top w:val="single" w:sz="8" w:color="CCEEFF"/>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CCEEFF"/>
            </w:tcBorders>
            <w:gridSpan w:val="2"/>
          </w:tcPr>
          <w:p>
            <w:pPr>
              <w:jc w:val="right"/>
              <w:ind w:right="240"/>
              <w:spacing w:after="0" w:line="142" w:lineRule="exact"/>
              <w:rPr>
                <w:sz w:val="20"/>
                <w:szCs w:val="20"/>
                <w:color w:val="auto"/>
              </w:rPr>
            </w:pPr>
            <w:r>
              <w:rPr>
                <w:rFonts w:ascii="Times New Roman" w:cs="Times New Roman" w:eastAsia="Times New Roman" w:hAnsi="Times New Roman"/>
                <w:sz w:val="14"/>
                <w:szCs w:val="14"/>
                <w:color w:val="auto"/>
              </w:rPr>
              <w:t>287</w:t>
            </w:r>
          </w:p>
        </w:tc>
        <w:tc>
          <w:tcPr>
            <w:tcW w:w="120" w:type="dxa"/>
            <w:vAlign w:val="bottom"/>
            <w:tcBorders>
              <w:top w:val="single" w:sz="8" w:color="CCEEFF"/>
            </w:tcBorders>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Borders>
              <w:top w:val="single" w:sz="8" w:color="CCEEFF"/>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1,148</w:t>
            </w:r>
          </w:p>
        </w:tc>
        <w:tc>
          <w:tcPr>
            <w:tcW w:w="12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380" w:type="dxa"/>
            <w:vAlign w:val="bottom"/>
            <w:gridSpan w:val="5"/>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Inter-segment sales</w:t>
            </w:r>
          </w:p>
        </w:tc>
        <w:tc>
          <w:tcPr>
            <w:tcW w:w="1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1</w:t>
            </w:r>
          </w:p>
        </w:tc>
        <w:tc>
          <w:tcPr>
            <w:tcW w:w="1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3</w:t>
            </w:r>
          </w:p>
        </w:tc>
        <w:tc>
          <w:tcPr>
            <w:tcW w:w="1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3</w:t>
            </w:r>
          </w:p>
        </w:tc>
        <w:tc>
          <w:tcPr>
            <w:tcW w:w="1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3</w:t>
            </w:r>
          </w:p>
        </w:tc>
        <w:tc>
          <w:tcPr>
            <w:tcW w:w="1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10</w:t>
            </w:r>
          </w:p>
        </w:tc>
        <w:tc>
          <w:tcPr>
            <w:tcW w:w="1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3</w:t>
            </w:r>
          </w:p>
        </w:tc>
        <w:tc>
          <w:tcPr>
            <w:tcW w:w="1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3</w:t>
            </w:r>
          </w:p>
        </w:tc>
        <w:tc>
          <w:tcPr>
            <w:tcW w:w="1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2</w:t>
            </w:r>
          </w:p>
        </w:tc>
        <w:tc>
          <w:tcPr>
            <w:tcW w:w="1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1</w:t>
            </w:r>
          </w:p>
        </w:tc>
        <w:tc>
          <w:tcPr>
            <w:tcW w:w="1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380" w:type="dxa"/>
            <w:vAlign w:val="bottom"/>
            <w:gridSpan w:val="5"/>
          </w:tcPr>
          <w:p>
            <w:pPr>
              <w:spacing w:after="0" w:line="126" w:lineRule="exact"/>
              <w:rPr>
                <w:sz w:val="20"/>
                <w:szCs w:val="20"/>
                <w:color w:val="auto"/>
              </w:rPr>
            </w:pPr>
            <w:r>
              <w:rPr>
                <w:rFonts w:ascii="Times New Roman" w:cs="Times New Roman" w:eastAsia="Times New Roman" w:hAnsi="Times New Roman"/>
                <w:sz w:val="14"/>
                <w:szCs w:val="14"/>
                <w:color w:val="auto"/>
              </w:rPr>
              <w:t>Provision for depreciation and</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11</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11</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10</w:t>
            </w:r>
          </w:p>
        </w:tc>
        <w:tc>
          <w:tcPr>
            <w:tcW w:w="120" w:type="dxa"/>
            <w:vAlign w:val="bottom"/>
            <w:vMerge w:val="restart"/>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10</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42</w:t>
            </w:r>
          </w:p>
        </w:tc>
        <w:tc>
          <w:tcPr>
            <w:tcW w:w="120" w:type="dxa"/>
            <w:vAlign w:val="bottom"/>
            <w:vMerge w:val="restart"/>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12</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10</w:t>
            </w:r>
          </w:p>
        </w:tc>
        <w:tc>
          <w:tcPr>
            <w:tcW w:w="120" w:type="dxa"/>
            <w:vAlign w:val="bottom"/>
            <w:vMerge w:val="restart"/>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9</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10</w:t>
            </w:r>
          </w:p>
        </w:tc>
        <w:tc>
          <w:tcPr>
            <w:tcW w:w="120" w:type="dxa"/>
            <w:vAlign w:val="bottom"/>
            <w:vMerge w:val="restart"/>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41</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380" w:type="dxa"/>
            <w:vAlign w:val="bottom"/>
            <w:gridSpan w:val="5"/>
          </w:tcPr>
          <w:p>
            <w:pPr>
              <w:spacing w:after="0"/>
              <w:rPr>
                <w:sz w:val="20"/>
                <w:szCs w:val="20"/>
                <w:color w:val="auto"/>
              </w:rPr>
            </w:pPr>
            <w:r>
              <w:rPr>
                <w:rFonts w:ascii="Times New Roman" w:cs="Times New Roman" w:eastAsia="Times New Roman" w:hAnsi="Times New Roman"/>
                <w:sz w:val="14"/>
                <w:szCs w:val="14"/>
                <w:color w:val="auto"/>
              </w:rPr>
              <w:t>amortization</w:t>
            </w:r>
          </w:p>
        </w:tc>
        <w:tc>
          <w:tcPr>
            <w:tcW w:w="140" w:type="dxa"/>
            <w:vAlign w:val="bottom"/>
            <w:vMerge w:val="continue"/>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140" w:type="dxa"/>
            <w:vAlign w:val="bottom"/>
            <w:vMerge w:val="continue"/>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5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380" w:type="dxa"/>
            <w:vAlign w:val="bottom"/>
            <w:gridSpan w:val="5"/>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Segment Adjusted EBITDA</w:t>
            </w:r>
          </w:p>
        </w:tc>
        <w:tc>
          <w:tcPr>
            <w:tcW w:w="1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37</w:t>
            </w:r>
          </w:p>
        </w:tc>
        <w:tc>
          <w:tcPr>
            <w:tcW w:w="1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40</w:t>
            </w:r>
          </w:p>
        </w:tc>
        <w:tc>
          <w:tcPr>
            <w:tcW w:w="1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38</w:t>
            </w:r>
          </w:p>
        </w:tc>
        <w:tc>
          <w:tcPr>
            <w:tcW w:w="1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51</w:t>
            </w:r>
          </w:p>
        </w:tc>
        <w:tc>
          <w:tcPr>
            <w:tcW w:w="1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166</w:t>
            </w:r>
          </w:p>
        </w:tc>
        <w:tc>
          <w:tcPr>
            <w:tcW w:w="1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60</w:t>
            </w:r>
          </w:p>
        </w:tc>
        <w:tc>
          <w:tcPr>
            <w:tcW w:w="1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62</w:t>
            </w:r>
          </w:p>
        </w:tc>
        <w:tc>
          <w:tcPr>
            <w:tcW w:w="1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58</w:t>
            </w:r>
          </w:p>
        </w:tc>
        <w:tc>
          <w:tcPr>
            <w:tcW w:w="1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63</w:t>
            </w:r>
          </w:p>
        </w:tc>
        <w:tc>
          <w:tcPr>
            <w:tcW w:w="1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243</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380" w:type="dxa"/>
            <w:vAlign w:val="bottom"/>
            <w:gridSpan w:val="5"/>
          </w:tcPr>
          <w:p>
            <w:pPr>
              <w:spacing w:after="0" w:line="149" w:lineRule="exact"/>
              <w:rPr>
                <w:sz w:val="20"/>
                <w:szCs w:val="20"/>
                <w:color w:val="auto"/>
              </w:rPr>
            </w:pPr>
            <w:r>
              <w:rPr>
                <w:rFonts w:ascii="Times New Roman" w:cs="Times New Roman" w:eastAsia="Times New Roman" w:hAnsi="Times New Roman"/>
                <w:sz w:val="14"/>
                <w:szCs w:val="14"/>
                <w:color w:val="auto"/>
              </w:rPr>
              <w:t>Segment Adjusted EBITDA Margin</w:t>
            </w:r>
          </w:p>
        </w:tc>
        <w:tc>
          <w:tcPr>
            <w:tcW w:w="140" w:type="dxa"/>
            <w:vAlign w:val="bottom"/>
          </w:tcPr>
          <w:p>
            <w:pPr>
              <w:spacing w:after="0"/>
              <w:rPr>
                <w:sz w:val="12"/>
                <w:szCs w:val="12"/>
                <w:color w:val="auto"/>
              </w:rPr>
            </w:pPr>
          </w:p>
        </w:tc>
        <w:tc>
          <w:tcPr>
            <w:tcW w:w="80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14.1%</w:t>
            </w:r>
          </w:p>
        </w:tc>
        <w:tc>
          <w:tcPr>
            <w:tcW w:w="120" w:type="dxa"/>
            <w:vAlign w:val="bottom"/>
          </w:tcPr>
          <w:p>
            <w:pPr>
              <w:spacing w:after="0"/>
              <w:rPr>
                <w:sz w:val="12"/>
                <w:szCs w:val="12"/>
                <w:color w:val="auto"/>
              </w:rPr>
            </w:pPr>
          </w:p>
        </w:tc>
        <w:tc>
          <w:tcPr>
            <w:tcW w:w="78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14.5%</w:t>
            </w:r>
          </w:p>
        </w:tc>
        <w:tc>
          <w:tcPr>
            <w:tcW w:w="120" w:type="dxa"/>
            <w:vAlign w:val="bottom"/>
          </w:tcPr>
          <w:p>
            <w:pPr>
              <w:spacing w:after="0"/>
              <w:rPr>
                <w:sz w:val="12"/>
                <w:szCs w:val="12"/>
                <w:color w:val="auto"/>
              </w:rPr>
            </w:pPr>
          </w:p>
        </w:tc>
        <w:tc>
          <w:tcPr>
            <w:tcW w:w="78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15.0%</w:t>
            </w:r>
          </w:p>
        </w:tc>
        <w:tc>
          <w:tcPr>
            <w:tcW w:w="120" w:type="dxa"/>
            <w:vAlign w:val="bottom"/>
          </w:tcPr>
          <w:p>
            <w:pPr>
              <w:spacing w:after="0"/>
              <w:rPr>
                <w:sz w:val="12"/>
                <w:szCs w:val="12"/>
                <w:color w:val="auto"/>
              </w:rPr>
            </w:pPr>
          </w:p>
        </w:tc>
        <w:tc>
          <w:tcPr>
            <w:tcW w:w="7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18.5%</w:t>
            </w:r>
          </w:p>
        </w:tc>
        <w:tc>
          <w:tcPr>
            <w:tcW w:w="140" w:type="dxa"/>
            <w:vAlign w:val="bottom"/>
          </w:tcPr>
          <w:p>
            <w:pPr>
              <w:spacing w:after="0"/>
              <w:rPr>
                <w:sz w:val="12"/>
                <w:szCs w:val="12"/>
                <w:color w:val="auto"/>
              </w:rPr>
            </w:pPr>
          </w:p>
        </w:tc>
        <w:tc>
          <w:tcPr>
            <w:tcW w:w="76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15.6%</w:t>
            </w:r>
          </w:p>
        </w:tc>
        <w:tc>
          <w:tcPr>
            <w:tcW w:w="120" w:type="dxa"/>
            <w:vAlign w:val="bottom"/>
          </w:tcPr>
          <w:p>
            <w:pPr>
              <w:spacing w:after="0"/>
              <w:rPr>
                <w:sz w:val="12"/>
                <w:szCs w:val="12"/>
                <w:color w:val="auto"/>
              </w:rPr>
            </w:pPr>
          </w:p>
        </w:tc>
        <w:tc>
          <w:tcPr>
            <w:tcW w:w="7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21.3%</w:t>
            </w:r>
          </w:p>
        </w:tc>
        <w:tc>
          <w:tcPr>
            <w:tcW w:w="120" w:type="dxa"/>
            <w:vAlign w:val="bottom"/>
          </w:tcPr>
          <w:p>
            <w:pPr>
              <w:spacing w:after="0"/>
              <w:rPr>
                <w:sz w:val="12"/>
                <w:szCs w:val="12"/>
                <w:color w:val="auto"/>
              </w:rPr>
            </w:pPr>
          </w:p>
        </w:tc>
        <w:tc>
          <w:tcPr>
            <w:tcW w:w="78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21.4%</w:t>
            </w:r>
          </w:p>
        </w:tc>
        <w:tc>
          <w:tcPr>
            <w:tcW w:w="120" w:type="dxa"/>
            <w:vAlign w:val="bottom"/>
          </w:tcPr>
          <w:p>
            <w:pPr>
              <w:spacing w:after="0"/>
              <w:rPr>
                <w:sz w:val="12"/>
                <w:szCs w:val="12"/>
                <w:color w:val="auto"/>
              </w:rPr>
            </w:pPr>
          </w:p>
        </w:tc>
        <w:tc>
          <w:tcPr>
            <w:tcW w:w="7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20.1%</w:t>
            </w:r>
          </w:p>
        </w:tc>
        <w:tc>
          <w:tcPr>
            <w:tcW w:w="120" w:type="dxa"/>
            <w:vAlign w:val="bottom"/>
          </w:tcPr>
          <w:p>
            <w:pPr>
              <w:spacing w:after="0"/>
              <w:rPr>
                <w:sz w:val="12"/>
                <w:szCs w:val="12"/>
                <w:color w:val="auto"/>
              </w:rPr>
            </w:pPr>
          </w:p>
        </w:tc>
        <w:tc>
          <w:tcPr>
            <w:tcW w:w="78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22.0%</w:t>
            </w:r>
          </w:p>
        </w:tc>
        <w:tc>
          <w:tcPr>
            <w:tcW w:w="120" w:type="dxa"/>
            <w:vAlign w:val="bottom"/>
          </w:tcPr>
          <w:p>
            <w:pPr>
              <w:spacing w:after="0"/>
              <w:rPr>
                <w:sz w:val="12"/>
                <w:szCs w:val="12"/>
                <w:color w:val="auto"/>
              </w:rPr>
            </w:pPr>
          </w:p>
        </w:tc>
        <w:tc>
          <w:tcPr>
            <w:tcW w:w="6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21.2%</w:t>
            </w:r>
          </w:p>
        </w:tc>
        <w:tc>
          <w:tcPr>
            <w:tcW w:w="0" w:type="dxa"/>
            <w:vAlign w:val="bottom"/>
          </w:tcPr>
          <w:p>
            <w:pPr>
              <w:spacing w:after="0"/>
              <w:rPr>
                <w:sz w:val="1"/>
                <w:szCs w:val="1"/>
                <w:color w:val="auto"/>
              </w:rPr>
            </w:pPr>
          </w:p>
        </w:tc>
      </w:tr>
      <w:tr>
        <w:trPr>
          <w:trHeight w:val="126"/>
        </w:trPr>
        <w:tc>
          <w:tcPr>
            <w:tcW w:w="2380" w:type="dxa"/>
            <w:vAlign w:val="bottom"/>
            <w:gridSpan w:val="5"/>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Restructuring and other charges</w:t>
            </w: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18</w:t>
            </w: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(3)</w:t>
            </w:r>
          </w:p>
        </w:tc>
        <w:tc>
          <w:tcPr>
            <w:tcW w:w="120" w:type="dxa"/>
            <w:vAlign w:val="bottom"/>
            <w:vMerge w:val="restart"/>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(3)</w:t>
            </w: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12</w:t>
            </w:r>
          </w:p>
        </w:tc>
        <w:tc>
          <w:tcPr>
            <w:tcW w:w="120" w:type="dxa"/>
            <w:vAlign w:val="bottom"/>
            <w:vMerge w:val="restart"/>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(4)</w:t>
            </w: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vMerge w:val="restart"/>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vMerge w:val="restart"/>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(4)</w:t>
            </w:r>
          </w:p>
        </w:tc>
        <w:tc>
          <w:tcPr>
            <w:tcW w:w="0" w:type="dxa"/>
            <w:vAlign w:val="bottom"/>
          </w:tcPr>
          <w:p>
            <w:pPr>
              <w:spacing w:after="0"/>
              <w:rPr>
                <w:sz w:val="1"/>
                <w:szCs w:val="1"/>
                <w:color w:val="auto"/>
              </w:rPr>
            </w:pPr>
          </w:p>
        </w:tc>
      </w:tr>
      <w:tr>
        <w:trPr>
          <w:trHeight w:val="171"/>
        </w:trPr>
        <w:tc>
          <w:tcPr>
            <w:tcW w:w="238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4"/>
                <w:szCs w:val="14"/>
                <w:color w:val="auto"/>
              </w:rPr>
              <w:t>(credits)</w:t>
            </w:r>
          </w:p>
        </w:tc>
        <w:tc>
          <w:tcPr>
            <w:tcW w:w="140" w:type="dxa"/>
            <w:vAlign w:val="bottom"/>
            <w:vMerge w:val="continue"/>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120" w:type="dxa"/>
            <w:vAlign w:val="bottom"/>
            <w:vMerge w:val="continue"/>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120" w:type="dxa"/>
            <w:vAlign w:val="bottom"/>
            <w:vMerge w:val="continue"/>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120" w:type="dxa"/>
            <w:vAlign w:val="bottom"/>
            <w:vMerge w:val="continue"/>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140" w:type="dxa"/>
            <w:vAlign w:val="bottom"/>
            <w:vMerge w:val="continue"/>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120" w:type="dxa"/>
            <w:vAlign w:val="bottom"/>
            <w:vMerge w:val="continue"/>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120" w:type="dxa"/>
            <w:vAlign w:val="bottom"/>
            <w:vMerge w:val="continue"/>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120" w:type="dxa"/>
            <w:vAlign w:val="bottom"/>
            <w:vMerge w:val="continue"/>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120" w:type="dxa"/>
            <w:vAlign w:val="bottom"/>
            <w:vMerge w:val="continue"/>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120" w:type="dxa"/>
            <w:vAlign w:val="bottom"/>
            <w:vMerge w:val="continue"/>
            <w:shd w:val="clear" w:color="auto" w:fill="CCEEFF"/>
          </w:tcPr>
          <w:p>
            <w:pPr>
              <w:spacing w:after="0"/>
              <w:rPr>
                <w:sz w:val="14"/>
                <w:szCs w:val="14"/>
                <w:color w:val="auto"/>
              </w:rPr>
            </w:pPr>
          </w:p>
        </w:tc>
        <w:tc>
          <w:tcPr>
            <w:tcW w:w="66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380" w:type="dxa"/>
            <w:vAlign w:val="bottom"/>
            <w:gridSpan w:val="5"/>
          </w:tcPr>
          <w:p>
            <w:pPr>
              <w:spacing w:after="0"/>
              <w:rPr>
                <w:sz w:val="20"/>
                <w:szCs w:val="20"/>
                <w:color w:val="auto"/>
              </w:rPr>
            </w:pPr>
            <w:r>
              <w:rPr>
                <w:rFonts w:ascii="Times New Roman" w:cs="Times New Roman" w:eastAsia="Times New Roman" w:hAnsi="Times New Roman"/>
                <w:sz w:val="14"/>
                <w:szCs w:val="14"/>
                <w:color w:val="auto"/>
              </w:rPr>
              <w:t>Capital expenditures</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6</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5</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5</w:t>
            </w:r>
          </w:p>
        </w:tc>
        <w:tc>
          <w:tcPr>
            <w:tcW w:w="1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4</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20</w:t>
            </w:r>
          </w:p>
        </w:tc>
        <w:tc>
          <w:tcPr>
            <w:tcW w:w="1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5</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6</w:t>
            </w:r>
          </w:p>
        </w:tc>
        <w:tc>
          <w:tcPr>
            <w:tcW w:w="1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9</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13</w:t>
            </w:r>
          </w:p>
        </w:tc>
        <w:tc>
          <w:tcPr>
            <w:tcW w:w="1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9"/>
        </w:trPr>
        <w:tc>
          <w:tcPr>
            <w:tcW w:w="9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CCEEFF"/>
            </w:tcBorders>
            <w:shd w:val="clear" w:color="auto" w:fill="CCEEFF"/>
          </w:tcPr>
          <w:p>
            <w:pPr>
              <w:spacing w:after="0"/>
              <w:rPr>
                <w:sz w:val="11"/>
                <w:szCs w:val="11"/>
                <w:color w:val="auto"/>
              </w:rPr>
            </w:pPr>
          </w:p>
        </w:tc>
        <w:tc>
          <w:tcPr>
            <w:tcW w:w="100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spacing w:after="0"/>
              <w:rPr>
                <w:sz w:val="11"/>
                <w:szCs w:val="11"/>
                <w:color w:val="auto"/>
              </w:rPr>
            </w:pPr>
          </w:p>
        </w:tc>
        <w:tc>
          <w:tcPr>
            <w:tcW w:w="24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spacing w:after="0"/>
              <w:rPr>
                <w:sz w:val="11"/>
                <w:szCs w:val="11"/>
                <w:color w:val="auto"/>
              </w:rPr>
            </w:pPr>
          </w:p>
        </w:tc>
        <w:tc>
          <w:tcPr>
            <w:tcW w:w="24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spacing w:after="0"/>
              <w:rPr>
                <w:sz w:val="11"/>
                <w:szCs w:val="11"/>
                <w:color w:val="auto"/>
              </w:rPr>
            </w:pPr>
          </w:p>
        </w:tc>
        <w:tc>
          <w:tcPr>
            <w:tcW w:w="24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spacing w:after="0"/>
              <w:rPr>
                <w:sz w:val="11"/>
                <w:szCs w:val="11"/>
                <w:color w:val="auto"/>
              </w:rPr>
            </w:pPr>
          </w:p>
        </w:tc>
        <w:tc>
          <w:tcPr>
            <w:tcW w:w="24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spacing w:after="0"/>
              <w:rPr>
                <w:sz w:val="11"/>
                <w:szCs w:val="11"/>
                <w:color w:val="auto"/>
              </w:rPr>
            </w:pPr>
          </w:p>
        </w:tc>
        <w:tc>
          <w:tcPr>
            <w:tcW w:w="24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940" w:type="dxa"/>
            <w:vAlign w:val="bottom"/>
            <w:tcBorders>
              <w:bottom w:val="single" w:sz="8" w:color="auto"/>
            </w:tcBorders>
          </w:tcPr>
          <w:p>
            <w:pPr>
              <w:spacing w:after="0" w:line="135" w:lineRule="exact"/>
              <w:rPr>
                <w:sz w:val="20"/>
                <w:szCs w:val="20"/>
                <w:color w:val="auto"/>
              </w:rPr>
            </w:pPr>
            <w:r>
              <w:rPr>
                <w:rFonts w:ascii="Times New Roman" w:cs="Times New Roman" w:eastAsia="Times New Roman" w:hAnsi="Times New Roman"/>
                <w:sz w:val="14"/>
                <w:szCs w:val="14"/>
                <w:b w:val="1"/>
                <w:bCs w:val="1"/>
                <w:color w:val="auto"/>
              </w:rPr>
              <w:t>Forged Wheels</w:t>
            </w:r>
          </w:p>
        </w:tc>
        <w:tc>
          <w:tcPr>
            <w:tcW w:w="1440" w:type="dxa"/>
            <w:vAlign w:val="bottom"/>
            <w:gridSpan w:val="4"/>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380" w:type="dxa"/>
            <w:vAlign w:val="bottom"/>
            <w:gridSpan w:val="5"/>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Third-party sales</w:t>
            </w:r>
          </w:p>
        </w:tc>
        <w:tc>
          <w:tcPr>
            <w:tcW w:w="14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gridSpan w:val="2"/>
            <w:shd w:val="clear" w:color="auto" w:fill="CCEEFF"/>
          </w:tcPr>
          <w:p>
            <w:pPr>
              <w:jc w:val="right"/>
              <w:ind w:right="240"/>
              <w:spacing w:after="0" w:line="142" w:lineRule="exact"/>
              <w:rPr>
                <w:sz w:val="20"/>
                <w:szCs w:val="20"/>
                <w:color w:val="auto"/>
              </w:rPr>
            </w:pPr>
            <w:r>
              <w:rPr>
                <w:rFonts w:ascii="Times New Roman" w:cs="Times New Roman" w:eastAsia="Times New Roman" w:hAnsi="Times New Roman"/>
                <w:sz w:val="14"/>
                <w:szCs w:val="14"/>
                <w:color w:val="auto"/>
              </w:rPr>
              <w:t>288</w:t>
            </w:r>
          </w:p>
        </w:tc>
        <w:tc>
          <w:tcPr>
            <w:tcW w:w="12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gridSpan w:val="2"/>
            <w:shd w:val="clear" w:color="auto" w:fill="CCEEFF"/>
          </w:tcPr>
          <w:p>
            <w:pPr>
              <w:jc w:val="right"/>
              <w:ind w:right="220"/>
              <w:spacing w:after="0" w:line="142" w:lineRule="exact"/>
              <w:rPr>
                <w:sz w:val="20"/>
                <w:szCs w:val="20"/>
                <w:color w:val="auto"/>
              </w:rPr>
            </w:pPr>
            <w:r>
              <w:rPr>
                <w:rFonts w:ascii="Times New Roman" w:cs="Times New Roman" w:eastAsia="Times New Roman" w:hAnsi="Times New Roman"/>
                <w:sz w:val="14"/>
                <w:szCs w:val="14"/>
                <w:color w:val="auto"/>
              </w:rPr>
              <w:t>278</w:t>
            </w:r>
          </w:p>
        </w:tc>
        <w:tc>
          <w:tcPr>
            <w:tcW w:w="12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gridSpan w:val="2"/>
            <w:shd w:val="clear" w:color="auto" w:fill="CCEEFF"/>
          </w:tcPr>
          <w:p>
            <w:pPr>
              <w:jc w:val="right"/>
              <w:ind w:right="240"/>
              <w:spacing w:after="0" w:line="142" w:lineRule="exact"/>
              <w:rPr>
                <w:sz w:val="20"/>
                <w:szCs w:val="20"/>
                <w:color w:val="auto"/>
              </w:rPr>
            </w:pPr>
            <w:r>
              <w:rPr>
                <w:rFonts w:ascii="Times New Roman" w:cs="Times New Roman" w:eastAsia="Times New Roman" w:hAnsi="Times New Roman"/>
                <w:sz w:val="14"/>
                <w:szCs w:val="14"/>
                <w:color w:val="auto"/>
              </w:rPr>
              <w:t>245</w:t>
            </w:r>
          </w:p>
        </w:tc>
        <w:tc>
          <w:tcPr>
            <w:tcW w:w="1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gridSpan w:val="2"/>
            <w:shd w:val="clear" w:color="auto" w:fill="CCEEFF"/>
          </w:tcPr>
          <w:p>
            <w:pPr>
              <w:jc w:val="right"/>
              <w:ind w:right="220"/>
              <w:spacing w:after="0" w:line="142" w:lineRule="exact"/>
              <w:rPr>
                <w:sz w:val="20"/>
                <w:szCs w:val="20"/>
                <w:color w:val="auto"/>
              </w:rPr>
            </w:pPr>
            <w:r>
              <w:rPr>
                <w:rFonts w:ascii="Times New Roman" w:cs="Times New Roman" w:eastAsia="Times New Roman" w:hAnsi="Times New Roman"/>
                <w:sz w:val="14"/>
                <w:szCs w:val="14"/>
                <w:color w:val="auto"/>
              </w:rPr>
              <w:t>243</w:t>
            </w:r>
          </w:p>
        </w:tc>
        <w:tc>
          <w:tcPr>
            <w:tcW w:w="14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gridSpan w:val="2"/>
            <w:shd w:val="clear" w:color="auto" w:fill="CCEEFF"/>
          </w:tcPr>
          <w:p>
            <w:pPr>
              <w:jc w:val="right"/>
              <w:ind w:right="240"/>
              <w:spacing w:after="0" w:line="142" w:lineRule="exact"/>
              <w:rPr>
                <w:sz w:val="20"/>
                <w:szCs w:val="20"/>
                <w:color w:val="auto"/>
              </w:rPr>
            </w:pPr>
            <w:r>
              <w:rPr>
                <w:rFonts w:ascii="Times New Roman" w:cs="Times New Roman" w:eastAsia="Times New Roman" w:hAnsi="Times New Roman"/>
                <w:sz w:val="14"/>
                <w:szCs w:val="14"/>
                <w:color w:val="auto"/>
              </w:rPr>
              <w:t>1,054</w:t>
            </w:r>
          </w:p>
        </w:tc>
        <w:tc>
          <w:tcPr>
            <w:tcW w:w="1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gridSpan w:val="2"/>
            <w:shd w:val="clear" w:color="auto" w:fill="CCEEFF"/>
          </w:tcPr>
          <w:p>
            <w:pPr>
              <w:jc w:val="right"/>
              <w:ind w:right="220"/>
              <w:spacing w:after="0" w:line="142" w:lineRule="exact"/>
              <w:rPr>
                <w:sz w:val="20"/>
                <w:szCs w:val="20"/>
                <w:color w:val="auto"/>
              </w:rPr>
            </w:pPr>
            <w:r>
              <w:rPr>
                <w:rFonts w:ascii="Times New Roman" w:cs="Times New Roman" w:eastAsia="Times New Roman" w:hAnsi="Times New Roman"/>
                <w:sz w:val="14"/>
                <w:szCs w:val="14"/>
                <w:color w:val="auto"/>
              </w:rPr>
              <w:t>252</w:t>
            </w:r>
          </w:p>
        </w:tc>
        <w:tc>
          <w:tcPr>
            <w:tcW w:w="12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gridSpan w:val="2"/>
            <w:shd w:val="clear" w:color="auto" w:fill="CCEEFF"/>
          </w:tcPr>
          <w:p>
            <w:pPr>
              <w:jc w:val="right"/>
              <w:ind w:right="240"/>
              <w:spacing w:after="0" w:line="142" w:lineRule="exact"/>
              <w:rPr>
                <w:sz w:val="20"/>
                <w:szCs w:val="20"/>
                <w:color w:val="auto"/>
              </w:rPr>
            </w:pPr>
            <w:r>
              <w:rPr>
                <w:rFonts w:ascii="Times New Roman" w:cs="Times New Roman" w:eastAsia="Times New Roman" w:hAnsi="Times New Roman"/>
                <w:sz w:val="14"/>
                <w:szCs w:val="14"/>
                <w:color w:val="auto"/>
              </w:rPr>
              <w:t>276</w:t>
            </w:r>
          </w:p>
        </w:tc>
        <w:tc>
          <w:tcPr>
            <w:tcW w:w="1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gridSpan w:val="2"/>
            <w:shd w:val="clear" w:color="auto" w:fill="CCEEFF"/>
          </w:tcPr>
          <w:p>
            <w:pPr>
              <w:jc w:val="right"/>
              <w:ind w:right="220"/>
              <w:spacing w:after="0" w:line="142" w:lineRule="exact"/>
              <w:rPr>
                <w:sz w:val="20"/>
                <w:szCs w:val="20"/>
                <w:color w:val="auto"/>
              </w:rPr>
            </w:pPr>
            <w:r>
              <w:rPr>
                <w:rFonts w:ascii="Times New Roman" w:cs="Times New Roman" w:eastAsia="Times New Roman" w:hAnsi="Times New Roman"/>
                <w:sz w:val="14"/>
                <w:szCs w:val="14"/>
                <w:color w:val="auto"/>
              </w:rPr>
              <w:t>247</w:t>
            </w:r>
          </w:p>
        </w:tc>
        <w:tc>
          <w:tcPr>
            <w:tcW w:w="12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gridSpan w:val="2"/>
            <w:shd w:val="clear" w:color="auto" w:fill="CCEEFF"/>
          </w:tcPr>
          <w:p>
            <w:pPr>
              <w:jc w:val="right"/>
              <w:ind w:right="240"/>
              <w:spacing w:after="0" w:line="142" w:lineRule="exact"/>
              <w:rPr>
                <w:sz w:val="20"/>
                <w:szCs w:val="20"/>
                <w:color w:val="auto"/>
              </w:rPr>
            </w:pPr>
            <w:r>
              <w:rPr>
                <w:rFonts w:ascii="Times New Roman" w:cs="Times New Roman" w:eastAsia="Times New Roman" w:hAnsi="Times New Roman"/>
                <w:sz w:val="14"/>
                <w:szCs w:val="14"/>
                <w:color w:val="auto"/>
              </w:rPr>
              <w:t>264</w:t>
            </w:r>
          </w:p>
        </w:tc>
        <w:tc>
          <w:tcPr>
            <w:tcW w:w="1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1,039</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380" w:type="dxa"/>
            <w:vAlign w:val="bottom"/>
            <w:gridSpan w:val="5"/>
          </w:tcPr>
          <w:p>
            <w:pPr>
              <w:spacing w:after="0" w:line="126" w:lineRule="exact"/>
              <w:rPr>
                <w:sz w:val="20"/>
                <w:szCs w:val="20"/>
                <w:color w:val="auto"/>
              </w:rPr>
            </w:pPr>
            <w:r>
              <w:rPr>
                <w:rFonts w:ascii="Times New Roman" w:cs="Times New Roman" w:eastAsia="Times New Roman" w:hAnsi="Times New Roman"/>
                <w:sz w:val="14"/>
                <w:szCs w:val="14"/>
                <w:color w:val="auto"/>
              </w:rPr>
              <w:t>Provision for depreciation and</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10</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10</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10</w:t>
            </w:r>
          </w:p>
        </w:tc>
        <w:tc>
          <w:tcPr>
            <w:tcW w:w="120" w:type="dxa"/>
            <w:vAlign w:val="bottom"/>
            <w:vMerge w:val="restart"/>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12</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42</w:t>
            </w:r>
          </w:p>
        </w:tc>
        <w:tc>
          <w:tcPr>
            <w:tcW w:w="120" w:type="dxa"/>
            <w:vAlign w:val="bottom"/>
            <w:vMerge w:val="restart"/>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10</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10</w:t>
            </w:r>
          </w:p>
        </w:tc>
        <w:tc>
          <w:tcPr>
            <w:tcW w:w="120" w:type="dxa"/>
            <w:vAlign w:val="bottom"/>
            <w:vMerge w:val="restart"/>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11</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11</w:t>
            </w:r>
          </w:p>
        </w:tc>
        <w:tc>
          <w:tcPr>
            <w:tcW w:w="120" w:type="dxa"/>
            <w:vAlign w:val="bottom"/>
            <w:vMerge w:val="restart"/>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42</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380" w:type="dxa"/>
            <w:vAlign w:val="bottom"/>
            <w:gridSpan w:val="5"/>
          </w:tcPr>
          <w:p>
            <w:pPr>
              <w:spacing w:after="0"/>
              <w:rPr>
                <w:sz w:val="20"/>
                <w:szCs w:val="20"/>
                <w:color w:val="auto"/>
              </w:rPr>
            </w:pPr>
            <w:r>
              <w:rPr>
                <w:rFonts w:ascii="Times New Roman" w:cs="Times New Roman" w:eastAsia="Times New Roman" w:hAnsi="Times New Roman"/>
                <w:sz w:val="14"/>
                <w:szCs w:val="14"/>
                <w:color w:val="auto"/>
              </w:rPr>
              <w:t>amortization</w:t>
            </w:r>
          </w:p>
        </w:tc>
        <w:tc>
          <w:tcPr>
            <w:tcW w:w="140" w:type="dxa"/>
            <w:vAlign w:val="bottom"/>
            <w:vMerge w:val="continue"/>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140" w:type="dxa"/>
            <w:vAlign w:val="bottom"/>
            <w:vMerge w:val="continue"/>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5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380" w:type="dxa"/>
            <w:vAlign w:val="bottom"/>
            <w:gridSpan w:val="5"/>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Segment Adjusted EBITDA</w:t>
            </w:r>
          </w:p>
        </w:tc>
        <w:tc>
          <w:tcPr>
            <w:tcW w:w="1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82</w:t>
            </w:r>
          </w:p>
        </w:tc>
        <w:tc>
          <w:tcPr>
            <w:tcW w:w="1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75</w:t>
            </w:r>
          </w:p>
        </w:tc>
        <w:tc>
          <w:tcPr>
            <w:tcW w:w="1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64</w:t>
            </w:r>
          </w:p>
        </w:tc>
        <w:tc>
          <w:tcPr>
            <w:tcW w:w="1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66</w:t>
            </w:r>
          </w:p>
        </w:tc>
        <w:tc>
          <w:tcPr>
            <w:tcW w:w="1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287</w:t>
            </w:r>
          </w:p>
        </w:tc>
        <w:tc>
          <w:tcPr>
            <w:tcW w:w="1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68</w:t>
            </w:r>
          </w:p>
        </w:tc>
        <w:tc>
          <w:tcPr>
            <w:tcW w:w="1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76</w:t>
            </w:r>
          </w:p>
        </w:tc>
        <w:tc>
          <w:tcPr>
            <w:tcW w:w="1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73</w:t>
            </w:r>
          </w:p>
        </w:tc>
        <w:tc>
          <w:tcPr>
            <w:tcW w:w="1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79</w:t>
            </w:r>
          </w:p>
        </w:tc>
        <w:tc>
          <w:tcPr>
            <w:tcW w:w="1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296</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380" w:type="dxa"/>
            <w:vAlign w:val="bottom"/>
            <w:gridSpan w:val="5"/>
          </w:tcPr>
          <w:p>
            <w:pPr>
              <w:spacing w:after="0" w:line="149" w:lineRule="exact"/>
              <w:rPr>
                <w:sz w:val="20"/>
                <w:szCs w:val="20"/>
                <w:color w:val="auto"/>
              </w:rPr>
            </w:pPr>
            <w:r>
              <w:rPr>
                <w:rFonts w:ascii="Times New Roman" w:cs="Times New Roman" w:eastAsia="Times New Roman" w:hAnsi="Times New Roman"/>
                <w:sz w:val="14"/>
                <w:szCs w:val="14"/>
                <w:color w:val="auto"/>
              </w:rPr>
              <w:t>Segment Adjusted EBITDA Margin</w:t>
            </w:r>
          </w:p>
        </w:tc>
        <w:tc>
          <w:tcPr>
            <w:tcW w:w="140" w:type="dxa"/>
            <w:vAlign w:val="bottom"/>
          </w:tcPr>
          <w:p>
            <w:pPr>
              <w:spacing w:after="0"/>
              <w:rPr>
                <w:sz w:val="12"/>
                <w:szCs w:val="12"/>
                <w:color w:val="auto"/>
              </w:rPr>
            </w:pPr>
          </w:p>
        </w:tc>
        <w:tc>
          <w:tcPr>
            <w:tcW w:w="80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28.5%</w:t>
            </w:r>
          </w:p>
        </w:tc>
        <w:tc>
          <w:tcPr>
            <w:tcW w:w="120" w:type="dxa"/>
            <w:vAlign w:val="bottom"/>
          </w:tcPr>
          <w:p>
            <w:pPr>
              <w:spacing w:after="0"/>
              <w:rPr>
                <w:sz w:val="12"/>
                <w:szCs w:val="12"/>
                <w:color w:val="auto"/>
              </w:rPr>
            </w:pPr>
          </w:p>
        </w:tc>
        <w:tc>
          <w:tcPr>
            <w:tcW w:w="78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27.0%</w:t>
            </w:r>
          </w:p>
        </w:tc>
        <w:tc>
          <w:tcPr>
            <w:tcW w:w="120" w:type="dxa"/>
            <w:vAlign w:val="bottom"/>
          </w:tcPr>
          <w:p>
            <w:pPr>
              <w:spacing w:after="0"/>
              <w:rPr>
                <w:sz w:val="12"/>
                <w:szCs w:val="12"/>
                <w:color w:val="auto"/>
              </w:rPr>
            </w:pPr>
          </w:p>
        </w:tc>
        <w:tc>
          <w:tcPr>
            <w:tcW w:w="78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26.1%</w:t>
            </w:r>
          </w:p>
        </w:tc>
        <w:tc>
          <w:tcPr>
            <w:tcW w:w="120" w:type="dxa"/>
            <w:vAlign w:val="bottom"/>
          </w:tcPr>
          <w:p>
            <w:pPr>
              <w:spacing w:after="0"/>
              <w:rPr>
                <w:sz w:val="12"/>
                <w:szCs w:val="12"/>
                <w:color w:val="auto"/>
              </w:rPr>
            </w:pPr>
          </w:p>
        </w:tc>
        <w:tc>
          <w:tcPr>
            <w:tcW w:w="7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27.2%</w:t>
            </w:r>
          </w:p>
        </w:tc>
        <w:tc>
          <w:tcPr>
            <w:tcW w:w="140" w:type="dxa"/>
            <w:vAlign w:val="bottom"/>
          </w:tcPr>
          <w:p>
            <w:pPr>
              <w:spacing w:after="0"/>
              <w:rPr>
                <w:sz w:val="12"/>
                <w:szCs w:val="12"/>
                <w:color w:val="auto"/>
              </w:rPr>
            </w:pPr>
          </w:p>
        </w:tc>
        <w:tc>
          <w:tcPr>
            <w:tcW w:w="76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27.2%</w:t>
            </w:r>
          </w:p>
        </w:tc>
        <w:tc>
          <w:tcPr>
            <w:tcW w:w="120" w:type="dxa"/>
            <w:vAlign w:val="bottom"/>
          </w:tcPr>
          <w:p>
            <w:pPr>
              <w:spacing w:after="0"/>
              <w:rPr>
                <w:sz w:val="12"/>
                <w:szCs w:val="12"/>
                <w:color w:val="auto"/>
              </w:rPr>
            </w:pPr>
          </w:p>
        </w:tc>
        <w:tc>
          <w:tcPr>
            <w:tcW w:w="7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27.0%</w:t>
            </w:r>
          </w:p>
        </w:tc>
        <w:tc>
          <w:tcPr>
            <w:tcW w:w="120" w:type="dxa"/>
            <w:vAlign w:val="bottom"/>
          </w:tcPr>
          <w:p>
            <w:pPr>
              <w:spacing w:after="0"/>
              <w:rPr>
                <w:sz w:val="12"/>
                <w:szCs w:val="12"/>
                <w:color w:val="auto"/>
              </w:rPr>
            </w:pPr>
          </w:p>
        </w:tc>
        <w:tc>
          <w:tcPr>
            <w:tcW w:w="78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27.5%</w:t>
            </w:r>
          </w:p>
        </w:tc>
        <w:tc>
          <w:tcPr>
            <w:tcW w:w="120" w:type="dxa"/>
            <w:vAlign w:val="bottom"/>
          </w:tcPr>
          <w:p>
            <w:pPr>
              <w:spacing w:after="0"/>
              <w:rPr>
                <w:sz w:val="12"/>
                <w:szCs w:val="12"/>
                <w:color w:val="auto"/>
              </w:rPr>
            </w:pPr>
          </w:p>
        </w:tc>
        <w:tc>
          <w:tcPr>
            <w:tcW w:w="7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29.6%</w:t>
            </w:r>
          </w:p>
        </w:tc>
        <w:tc>
          <w:tcPr>
            <w:tcW w:w="120" w:type="dxa"/>
            <w:vAlign w:val="bottom"/>
          </w:tcPr>
          <w:p>
            <w:pPr>
              <w:spacing w:after="0"/>
              <w:rPr>
                <w:sz w:val="12"/>
                <w:szCs w:val="12"/>
                <w:color w:val="auto"/>
              </w:rPr>
            </w:pPr>
          </w:p>
        </w:tc>
        <w:tc>
          <w:tcPr>
            <w:tcW w:w="78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29.9%</w:t>
            </w:r>
          </w:p>
        </w:tc>
        <w:tc>
          <w:tcPr>
            <w:tcW w:w="120" w:type="dxa"/>
            <w:vAlign w:val="bottom"/>
          </w:tcPr>
          <w:p>
            <w:pPr>
              <w:spacing w:after="0"/>
              <w:rPr>
                <w:sz w:val="12"/>
                <w:szCs w:val="12"/>
                <w:color w:val="auto"/>
              </w:rPr>
            </w:pPr>
          </w:p>
        </w:tc>
        <w:tc>
          <w:tcPr>
            <w:tcW w:w="6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28.5%</w:t>
            </w:r>
          </w:p>
        </w:tc>
        <w:tc>
          <w:tcPr>
            <w:tcW w:w="0" w:type="dxa"/>
            <w:vAlign w:val="bottom"/>
          </w:tcPr>
          <w:p>
            <w:pPr>
              <w:spacing w:after="0"/>
              <w:rPr>
                <w:sz w:val="1"/>
                <w:szCs w:val="1"/>
                <w:color w:val="auto"/>
              </w:rPr>
            </w:pPr>
          </w:p>
        </w:tc>
      </w:tr>
      <w:tr>
        <w:trPr>
          <w:trHeight w:val="126"/>
        </w:trPr>
        <w:tc>
          <w:tcPr>
            <w:tcW w:w="2380" w:type="dxa"/>
            <w:vAlign w:val="bottom"/>
            <w:gridSpan w:val="5"/>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Restructuring and other charges</w:t>
            </w: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vMerge w:val="restart"/>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vMerge w:val="restart"/>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vMerge w:val="restart"/>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vMerge w:val="restart"/>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71"/>
        </w:trPr>
        <w:tc>
          <w:tcPr>
            <w:tcW w:w="238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4"/>
                <w:szCs w:val="14"/>
                <w:color w:val="auto"/>
              </w:rPr>
              <w:t>(credits)</w:t>
            </w:r>
          </w:p>
        </w:tc>
        <w:tc>
          <w:tcPr>
            <w:tcW w:w="140" w:type="dxa"/>
            <w:vAlign w:val="bottom"/>
            <w:vMerge w:val="continue"/>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120" w:type="dxa"/>
            <w:vAlign w:val="bottom"/>
            <w:vMerge w:val="continue"/>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120" w:type="dxa"/>
            <w:vAlign w:val="bottom"/>
            <w:vMerge w:val="continue"/>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120" w:type="dxa"/>
            <w:vAlign w:val="bottom"/>
            <w:vMerge w:val="continue"/>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140" w:type="dxa"/>
            <w:vAlign w:val="bottom"/>
            <w:vMerge w:val="continue"/>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120" w:type="dxa"/>
            <w:vAlign w:val="bottom"/>
            <w:vMerge w:val="continue"/>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120" w:type="dxa"/>
            <w:vAlign w:val="bottom"/>
            <w:vMerge w:val="continue"/>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120" w:type="dxa"/>
            <w:vAlign w:val="bottom"/>
            <w:vMerge w:val="continue"/>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120" w:type="dxa"/>
            <w:vAlign w:val="bottom"/>
            <w:vMerge w:val="continue"/>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120" w:type="dxa"/>
            <w:vAlign w:val="bottom"/>
            <w:vMerge w:val="continue"/>
            <w:shd w:val="clear" w:color="auto" w:fill="CCEEFF"/>
          </w:tcPr>
          <w:p>
            <w:pPr>
              <w:spacing w:after="0"/>
              <w:rPr>
                <w:sz w:val="14"/>
                <w:szCs w:val="14"/>
                <w:color w:val="auto"/>
              </w:rPr>
            </w:pPr>
          </w:p>
        </w:tc>
        <w:tc>
          <w:tcPr>
            <w:tcW w:w="66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380" w:type="dxa"/>
            <w:vAlign w:val="bottom"/>
            <w:gridSpan w:val="5"/>
          </w:tcPr>
          <w:p>
            <w:pPr>
              <w:spacing w:after="0"/>
              <w:rPr>
                <w:sz w:val="20"/>
                <w:szCs w:val="20"/>
                <w:color w:val="auto"/>
              </w:rPr>
            </w:pPr>
            <w:r>
              <w:rPr>
                <w:rFonts w:ascii="Times New Roman" w:cs="Times New Roman" w:eastAsia="Times New Roman" w:hAnsi="Times New Roman"/>
                <w:sz w:val="14"/>
                <w:szCs w:val="14"/>
                <w:color w:val="auto"/>
              </w:rPr>
              <w:t>Capital expenditures</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12</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9</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14</w:t>
            </w:r>
          </w:p>
        </w:tc>
        <w:tc>
          <w:tcPr>
            <w:tcW w:w="1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10</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45</w:t>
            </w:r>
          </w:p>
        </w:tc>
        <w:tc>
          <w:tcPr>
            <w:tcW w:w="1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15</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8</w:t>
            </w:r>
          </w:p>
        </w:tc>
        <w:tc>
          <w:tcPr>
            <w:tcW w:w="1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9</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4</w:t>
            </w:r>
          </w:p>
        </w:tc>
        <w:tc>
          <w:tcPr>
            <w:tcW w:w="1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Differences between the total segment and consolidated totals are in Corporate.</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color w:val="auto"/>
        </w:rPr>
        <w:t>Howmet Aerospace Inc.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Calculation of Financial Measures (unaudited)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 U.S. dollar millions)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Reconciliation of Total Segment Adjusted EBITDA to Consolidated Income Before Income Taxes</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3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1Q24</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2Q24</w:t>
            </w:r>
          </w:p>
        </w:tc>
        <w:tc>
          <w:tcPr>
            <w:tcW w:w="140" w:type="dxa"/>
            <w:vAlign w:val="bottom"/>
          </w:tcPr>
          <w:p>
            <w:pPr>
              <w:spacing w:after="0"/>
              <w:rPr>
                <w:sz w:val="15"/>
                <w:szCs w:val="15"/>
                <w:color w:val="auto"/>
              </w:rPr>
            </w:pPr>
          </w:p>
        </w:tc>
        <w:tc>
          <w:tcPr>
            <w:tcW w:w="70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3Q24</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4Q24</w:t>
            </w:r>
          </w:p>
        </w:tc>
        <w:tc>
          <w:tcPr>
            <w:tcW w:w="140" w:type="dxa"/>
            <w:vAlign w:val="bottom"/>
          </w:tcPr>
          <w:p>
            <w:pPr>
              <w:spacing w:after="0"/>
              <w:rPr>
                <w:sz w:val="15"/>
                <w:szCs w:val="15"/>
                <w:color w:val="auto"/>
              </w:rPr>
            </w:pPr>
          </w:p>
        </w:tc>
        <w:tc>
          <w:tcPr>
            <w:tcW w:w="520" w:type="dxa"/>
            <w:vAlign w:val="bottom"/>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1Q25</w:t>
            </w:r>
          </w:p>
        </w:tc>
        <w:tc>
          <w:tcPr>
            <w:tcW w:w="120" w:type="dxa"/>
            <w:vAlign w:val="bottom"/>
          </w:tcPr>
          <w:p>
            <w:pPr>
              <w:spacing w:after="0"/>
              <w:rPr>
                <w:sz w:val="15"/>
                <w:szCs w:val="15"/>
                <w:color w:val="auto"/>
              </w:rPr>
            </w:pPr>
          </w:p>
        </w:tc>
        <w:tc>
          <w:tcPr>
            <w:tcW w:w="6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2Q25</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3Q25</w:t>
            </w:r>
          </w:p>
        </w:tc>
        <w:tc>
          <w:tcPr>
            <w:tcW w:w="120" w:type="dxa"/>
            <w:vAlign w:val="bottom"/>
          </w:tcPr>
          <w:p>
            <w:pPr>
              <w:spacing w:after="0"/>
              <w:rPr>
                <w:sz w:val="15"/>
                <w:szCs w:val="15"/>
                <w:color w:val="auto"/>
              </w:rPr>
            </w:pPr>
          </w:p>
        </w:tc>
        <w:tc>
          <w:tcPr>
            <w:tcW w:w="7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4Q25</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380" w:type="dxa"/>
            <w:vAlign w:val="bottom"/>
            <w:tcBorders>
              <w:top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Income before income taxes</w:t>
            </w:r>
          </w:p>
        </w:tc>
        <w:tc>
          <w:tcPr>
            <w:tcW w:w="1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303</w:t>
            </w:r>
          </w:p>
        </w:tc>
        <w:tc>
          <w:tcPr>
            <w:tcW w:w="1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334</w:t>
            </w:r>
          </w:p>
        </w:tc>
        <w:tc>
          <w:tcPr>
            <w:tcW w:w="24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354</w:t>
            </w:r>
          </w:p>
        </w:tc>
        <w:tc>
          <w:tcPr>
            <w:tcW w:w="1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392</w:t>
            </w:r>
          </w:p>
        </w:tc>
        <w:tc>
          <w:tcPr>
            <w:tcW w:w="2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1,383</w:t>
            </w:r>
          </w:p>
        </w:tc>
        <w:tc>
          <w:tcPr>
            <w:tcW w:w="1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446</w:t>
            </w:r>
          </w:p>
        </w:tc>
        <w:tc>
          <w:tcPr>
            <w:tcW w:w="2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469</w:t>
            </w: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495</w:t>
            </w:r>
          </w:p>
        </w:tc>
        <w:tc>
          <w:tcPr>
            <w:tcW w:w="2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430</w:t>
            </w:r>
          </w:p>
        </w:tc>
        <w:tc>
          <w:tcPr>
            <w:tcW w:w="2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5"/>
                <w:szCs w:val="5"/>
                <w:color w:val="auto"/>
                <w:w w:val="78"/>
              </w:rPr>
              <w:t>$</w:t>
            </w:r>
          </w:p>
        </w:tc>
        <w:tc>
          <w:tcPr>
            <w:tcW w:w="5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1,840</w:t>
            </w:r>
          </w:p>
        </w:tc>
        <w:tc>
          <w:tcPr>
            <w:tcW w:w="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Loss on debt redemption</w:t>
            </w:r>
          </w:p>
        </w:tc>
        <w:tc>
          <w:tcPr>
            <w:tcW w:w="140" w:type="dxa"/>
            <w:vAlign w:val="bottom"/>
          </w:tcPr>
          <w:p>
            <w:pPr>
              <w:spacing w:after="0"/>
              <w:rPr>
                <w:sz w:val="12"/>
                <w:szCs w:val="12"/>
                <w:color w:val="auto"/>
              </w:rPr>
            </w:pPr>
          </w:p>
        </w:tc>
        <w:tc>
          <w:tcPr>
            <w:tcW w:w="68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70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6</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64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6</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64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76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15</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15</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3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Interest expense, net</w:t>
            </w:r>
          </w:p>
        </w:tc>
        <w:tc>
          <w:tcPr>
            <w:tcW w:w="14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49</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49</w:t>
            </w:r>
          </w:p>
        </w:tc>
        <w:tc>
          <w:tcPr>
            <w:tcW w:w="14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44</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40</w:t>
            </w:r>
          </w:p>
        </w:tc>
        <w:tc>
          <w:tcPr>
            <w:tcW w:w="14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182</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39</w:t>
            </w:r>
          </w:p>
        </w:tc>
        <w:tc>
          <w:tcPr>
            <w:tcW w:w="1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38</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37</w:t>
            </w:r>
          </w:p>
        </w:tc>
        <w:tc>
          <w:tcPr>
            <w:tcW w:w="1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37</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151</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380" w:type="dxa"/>
            <w:vAlign w:val="bottom"/>
          </w:tcPr>
          <w:p>
            <w:pPr>
              <w:spacing w:after="0"/>
              <w:rPr>
                <w:sz w:val="20"/>
                <w:szCs w:val="20"/>
                <w:color w:val="auto"/>
              </w:rPr>
            </w:pPr>
            <w:r>
              <w:rPr>
                <w:rFonts w:ascii="Times New Roman" w:cs="Times New Roman" w:eastAsia="Times New Roman" w:hAnsi="Times New Roman"/>
                <w:sz w:val="14"/>
                <w:szCs w:val="14"/>
                <w:color w:val="auto"/>
              </w:rPr>
              <w:t>Other expense, net</w:t>
            </w:r>
          </w:p>
        </w:tc>
        <w:tc>
          <w:tcPr>
            <w:tcW w:w="140" w:type="dxa"/>
            <w:vAlign w:val="bottom"/>
          </w:tcPr>
          <w:p>
            <w:pPr>
              <w:spacing w:after="0"/>
              <w:rPr>
                <w:sz w:val="14"/>
                <w:szCs w:val="14"/>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17</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15</w:t>
            </w:r>
          </w:p>
        </w:tc>
        <w:tc>
          <w:tcPr>
            <w:tcW w:w="140" w:type="dxa"/>
            <w:vAlign w:val="bottom"/>
          </w:tcPr>
          <w:p>
            <w:pPr>
              <w:spacing w:after="0"/>
              <w:rPr>
                <w:sz w:val="14"/>
                <w:szCs w:val="14"/>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17</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13</w:t>
            </w:r>
          </w:p>
        </w:tc>
        <w:tc>
          <w:tcPr>
            <w:tcW w:w="140" w:type="dxa"/>
            <w:vAlign w:val="bottom"/>
          </w:tcPr>
          <w:p>
            <w:pPr>
              <w:spacing w:after="0"/>
              <w:rPr>
                <w:sz w:val="14"/>
                <w:szCs w:val="14"/>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62</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9</w:t>
            </w:r>
          </w:p>
        </w:tc>
        <w:tc>
          <w:tcPr>
            <w:tcW w:w="120" w:type="dxa"/>
            <w:vAlign w:val="bottom"/>
          </w:tcPr>
          <w:p>
            <w:pPr>
              <w:spacing w:after="0"/>
              <w:rPr>
                <w:sz w:val="14"/>
                <w:szCs w:val="14"/>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14</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10</w:t>
            </w:r>
          </w:p>
        </w:tc>
        <w:tc>
          <w:tcPr>
            <w:tcW w:w="120" w:type="dxa"/>
            <w:vAlign w:val="bottom"/>
          </w:tcPr>
          <w:p>
            <w:pPr>
              <w:spacing w:after="0"/>
              <w:rPr>
                <w:sz w:val="14"/>
                <w:szCs w:val="14"/>
                <w:color w:val="auto"/>
              </w:rPr>
            </w:pP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7</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40</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380" w:type="dxa"/>
            <w:vAlign w:val="bottom"/>
            <w:tcBorders>
              <w:top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Operating income</w:t>
            </w:r>
          </w:p>
        </w:tc>
        <w:tc>
          <w:tcPr>
            <w:tcW w:w="1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369</w:t>
            </w:r>
          </w:p>
        </w:tc>
        <w:tc>
          <w:tcPr>
            <w:tcW w:w="1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398</w:t>
            </w:r>
          </w:p>
        </w:tc>
        <w:tc>
          <w:tcPr>
            <w:tcW w:w="24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421</w:t>
            </w:r>
          </w:p>
        </w:tc>
        <w:tc>
          <w:tcPr>
            <w:tcW w:w="1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445</w:t>
            </w:r>
          </w:p>
        </w:tc>
        <w:tc>
          <w:tcPr>
            <w:tcW w:w="2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1,633</w:t>
            </w:r>
          </w:p>
        </w:tc>
        <w:tc>
          <w:tcPr>
            <w:tcW w:w="1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494</w:t>
            </w:r>
          </w:p>
        </w:tc>
        <w:tc>
          <w:tcPr>
            <w:tcW w:w="2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521</w:t>
            </w: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542</w:t>
            </w:r>
          </w:p>
        </w:tc>
        <w:tc>
          <w:tcPr>
            <w:tcW w:w="2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489</w:t>
            </w:r>
          </w:p>
        </w:tc>
        <w:tc>
          <w:tcPr>
            <w:tcW w:w="2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5"/>
                <w:szCs w:val="5"/>
                <w:color w:val="auto"/>
                <w:w w:val="78"/>
              </w:rPr>
              <w:t>$</w:t>
            </w:r>
          </w:p>
        </w:tc>
        <w:tc>
          <w:tcPr>
            <w:tcW w:w="5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2,046</w:t>
            </w:r>
          </w:p>
        </w:tc>
        <w:tc>
          <w:tcPr>
            <w:tcW w:w="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38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Segment provision for depreciation</w:t>
            </w:r>
          </w:p>
        </w:tc>
        <w:tc>
          <w:tcPr>
            <w:tcW w:w="140" w:type="dxa"/>
            <w:vAlign w:val="bottom"/>
          </w:tcPr>
          <w:p>
            <w:pPr>
              <w:spacing w:after="0"/>
              <w:rPr>
                <w:sz w:val="10"/>
                <w:szCs w:val="10"/>
                <w:color w:val="auto"/>
              </w:rPr>
            </w:pPr>
          </w:p>
        </w:tc>
        <w:tc>
          <w:tcPr>
            <w:tcW w:w="6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65</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67</w:t>
            </w:r>
          </w:p>
        </w:tc>
        <w:tc>
          <w:tcPr>
            <w:tcW w:w="140" w:type="dxa"/>
            <w:vAlign w:val="bottom"/>
          </w:tcPr>
          <w:p>
            <w:pPr>
              <w:spacing w:after="0"/>
              <w:rPr>
                <w:sz w:val="10"/>
                <w:szCs w:val="10"/>
                <w:color w:val="auto"/>
              </w:rPr>
            </w:pPr>
          </w:p>
        </w:tc>
        <w:tc>
          <w:tcPr>
            <w:tcW w:w="7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66</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72</w:t>
            </w:r>
          </w:p>
        </w:tc>
        <w:tc>
          <w:tcPr>
            <w:tcW w:w="140" w:type="dxa"/>
            <w:vAlign w:val="bottom"/>
          </w:tcPr>
          <w:p>
            <w:pPr>
              <w:spacing w:after="0"/>
              <w:rPr>
                <w:sz w:val="10"/>
                <w:szCs w:val="10"/>
                <w:color w:val="auto"/>
              </w:rPr>
            </w:pPr>
          </w:p>
        </w:tc>
        <w:tc>
          <w:tcPr>
            <w:tcW w:w="6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270</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68</w:t>
            </w:r>
          </w:p>
        </w:tc>
        <w:tc>
          <w:tcPr>
            <w:tcW w:w="120" w:type="dxa"/>
            <w:vAlign w:val="bottom"/>
          </w:tcPr>
          <w:p>
            <w:pPr>
              <w:spacing w:after="0"/>
              <w:rPr>
                <w:sz w:val="10"/>
                <w:szCs w:val="10"/>
                <w:color w:val="auto"/>
              </w:rPr>
            </w:pPr>
          </w:p>
        </w:tc>
        <w:tc>
          <w:tcPr>
            <w:tcW w:w="6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67</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70</w:t>
            </w:r>
          </w:p>
        </w:tc>
        <w:tc>
          <w:tcPr>
            <w:tcW w:w="120" w:type="dxa"/>
            <w:vAlign w:val="bottom"/>
          </w:tcPr>
          <w:p>
            <w:pPr>
              <w:spacing w:after="0"/>
              <w:rPr>
                <w:sz w:val="10"/>
                <w:szCs w:val="10"/>
                <w:color w:val="auto"/>
              </w:rPr>
            </w:pPr>
          </w:p>
        </w:tc>
        <w:tc>
          <w:tcPr>
            <w:tcW w:w="7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72</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277</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380" w:type="dxa"/>
            <w:vAlign w:val="bottom"/>
          </w:tcPr>
          <w:p>
            <w:pPr>
              <w:spacing w:after="0"/>
              <w:rPr>
                <w:sz w:val="20"/>
                <w:szCs w:val="20"/>
                <w:color w:val="auto"/>
              </w:rPr>
            </w:pPr>
            <w:r>
              <w:rPr>
                <w:rFonts w:ascii="Times New Roman" w:cs="Times New Roman" w:eastAsia="Times New Roman" w:hAnsi="Times New Roman"/>
                <w:sz w:val="14"/>
                <w:szCs w:val="14"/>
                <w:color w:val="auto"/>
              </w:rPr>
              <w:t>and amortization</w:t>
            </w:r>
          </w:p>
        </w:tc>
        <w:tc>
          <w:tcPr>
            <w:tcW w:w="140" w:type="dxa"/>
            <w:vAlign w:val="bottom"/>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3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Unallocated amounts:</w:t>
            </w: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380" w:type="dxa"/>
            <w:vAlign w:val="bottom"/>
          </w:tcPr>
          <w:p>
            <w:pPr>
              <w:ind w:left="180"/>
              <w:spacing w:after="0" w:line="126" w:lineRule="exact"/>
              <w:rPr>
                <w:sz w:val="20"/>
                <w:szCs w:val="20"/>
                <w:color w:val="auto"/>
              </w:rPr>
            </w:pPr>
            <w:r>
              <w:rPr>
                <w:rFonts w:ascii="Times New Roman" w:cs="Times New Roman" w:eastAsia="Times New Roman" w:hAnsi="Times New Roman"/>
                <w:sz w:val="14"/>
                <w:szCs w:val="14"/>
                <w:color w:val="auto"/>
              </w:rPr>
              <w:t>Restructuring and other charges</w:t>
            </w:r>
          </w:p>
        </w:tc>
        <w:tc>
          <w:tcPr>
            <w:tcW w:w="140" w:type="dxa"/>
            <w:vAlign w:val="bottom"/>
          </w:tcPr>
          <w:p>
            <w:pPr>
              <w:spacing w:after="0"/>
              <w:rPr>
                <w:sz w:val="10"/>
                <w:szCs w:val="10"/>
                <w:color w:val="auto"/>
              </w:rPr>
            </w:pPr>
          </w:p>
        </w:tc>
        <w:tc>
          <w:tcPr>
            <w:tcW w:w="6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22</w:t>
            </w:r>
          </w:p>
        </w:tc>
        <w:tc>
          <w:tcPr>
            <w:tcW w:w="140" w:type="dxa"/>
            <w:vAlign w:val="bottom"/>
          </w:tcPr>
          <w:p>
            <w:pPr>
              <w:spacing w:after="0"/>
              <w:rPr>
                <w:sz w:val="10"/>
                <w:szCs w:val="10"/>
                <w:color w:val="auto"/>
              </w:rPr>
            </w:pPr>
          </w:p>
        </w:tc>
        <w:tc>
          <w:tcPr>
            <w:tcW w:w="7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0"/>
                <w:szCs w:val="10"/>
                <w:color w:val="auto"/>
              </w:rPr>
            </w:pPr>
          </w:p>
        </w:tc>
        <w:tc>
          <w:tcPr>
            <w:tcW w:w="6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21</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(4)</w:t>
            </w:r>
          </w:p>
        </w:tc>
        <w:tc>
          <w:tcPr>
            <w:tcW w:w="120" w:type="dxa"/>
            <w:vAlign w:val="bottom"/>
          </w:tcPr>
          <w:p>
            <w:pPr>
              <w:spacing w:after="0"/>
              <w:rPr>
                <w:sz w:val="10"/>
                <w:szCs w:val="10"/>
                <w:color w:val="auto"/>
              </w:rPr>
            </w:pPr>
          </w:p>
        </w:tc>
        <w:tc>
          <w:tcPr>
            <w:tcW w:w="6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7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88</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84</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3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(credits)</w:t>
            </w:r>
          </w:p>
        </w:tc>
        <w:tc>
          <w:tcPr>
            <w:tcW w:w="140" w:type="dxa"/>
            <w:vAlign w:val="bottom"/>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2380" w:type="dxa"/>
            <w:vAlign w:val="bottom"/>
            <w:shd w:val="clear" w:color="auto" w:fill="CCEEFF"/>
          </w:tcPr>
          <w:p>
            <w:pPr>
              <w:ind w:left="180"/>
              <w:spacing w:after="0" w:line="202" w:lineRule="exact"/>
              <w:rPr>
                <w:sz w:val="20"/>
                <w:szCs w:val="20"/>
                <w:color w:val="auto"/>
              </w:rPr>
            </w:pPr>
            <w:r>
              <w:rPr>
                <w:rFonts w:ascii="Times New Roman" w:cs="Times New Roman" w:eastAsia="Times New Roman" w:hAnsi="Times New Roman"/>
                <w:sz w:val="14"/>
                <w:szCs w:val="14"/>
                <w:color w:val="auto"/>
              </w:rPr>
              <w:t>Corporate expense</w:t>
            </w:r>
            <w:r>
              <w:rPr>
                <w:rFonts w:ascii="Times New Roman" w:cs="Times New Roman" w:eastAsia="Times New Roman" w:hAnsi="Times New Roman"/>
                <w:sz w:val="23"/>
                <w:szCs w:val="23"/>
                <w:color w:val="auto"/>
                <w:vertAlign w:val="superscript"/>
              </w:rPr>
              <w:t>(1)</w:t>
            </w:r>
          </w:p>
        </w:tc>
        <w:tc>
          <w:tcPr>
            <w:tcW w:w="14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26</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21</w:t>
            </w:r>
          </w:p>
        </w:tc>
        <w:tc>
          <w:tcPr>
            <w:tcW w:w="14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25</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13</w:t>
            </w:r>
          </w:p>
        </w:tc>
        <w:tc>
          <w:tcPr>
            <w:tcW w:w="14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85</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22</w:t>
            </w:r>
          </w:p>
        </w:tc>
        <w:tc>
          <w:tcPr>
            <w:tcW w:w="12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25</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25</w:t>
            </w:r>
          </w:p>
        </w:tc>
        <w:tc>
          <w:tcPr>
            <w:tcW w:w="1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28</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100</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42"/>
        </w:trPr>
        <w:tc>
          <w:tcPr>
            <w:tcW w:w="238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Total Segment Adjusted EBITDA</w:t>
            </w:r>
          </w:p>
        </w:tc>
        <w:tc>
          <w:tcPr>
            <w:tcW w:w="1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460</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508</w:t>
            </w:r>
          </w:p>
        </w:tc>
        <w:tc>
          <w:tcPr>
            <w:tcW w:w="240" w:type="dxa"/>
            <w:vAlign w:val="bottom"/>
          </w:tcPr>
          <w:p>
            <w:pPr>
              <w:spacing w:after="0"/>
              <w:rPr>
                <w:sz w:val="12"/>
                <w:szCs w:val="12"/>
                <w:color w:val="auto"/>
              </w:rPr>
            </w:pPr>
          </w:p>
        </w:tc>
        <w:tc>
          <w:tcPr>
            <w:tcW w:w="1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511</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530</w:t>
            </w:r>
          </w:p>
        </w:tc>
        <w:tc>
          <w:tcPr>
            <w:tcW w:w="220" w:type="dxa"/>
            <w:vAlign w:val="bottom"/>
          </w:tcPr>
          <w:p>
            <w:pPr>
              <w:spacing w:after="0"/>
              <w:rPr>
                <w:sz w:val="12"/>
                <w:szCs w:val="12"/>
                <w:color w:val="auto"/>
              </w:rPr>
            </w:pPr>
          </w:p>
        </w:tc>
        <w:tc>
          <w:tcPr>
            <w:tcW w:w="1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2,009</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580</w:t>
            </w:r>
          </w:p>
        </w:tc>
        <w:tc>
          <w:tcPr>
            <w:tcW w:w="220" w:type="dxa"/>
            <w:vAlign w:val="bottom"/>
          </w:tcPr>
          <w:p>
            <w:pPr>
              <w:spacing w:after="0"/>
              <w:rPr>
                <w:sz w:val="12"/>
                <w:szCs w:val="12"/>
                <w:color w:val="auto"/>
              </w:rPr>
            </w:pPr>
          </w:p>
        </w:tc>
        <w:tc>
          <w:tcPr>
            <w:tcW w:w="1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613</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637</w:t>
            </w:r>
          </w:p>
        </w:tc>
        <w:tc>
          <w:tcPr>
            <w:tcW w:w="220" w:type="dxa"/>
            <w:vAlign w:val="bottom"/>
          </w:tcPr>
          <w:p>
            <w:pPr>
              <w:spacing w:after="0"/>
              <w:rPr>
                <w:sz w:val="12"/>
                <w:szCs w:val="12"/>
                <w:color w:val="auto"/>
              </w:rPr>
            </w:pPr>
          </w:p>
        </w:tc>
        <w:tc>
          <w:tcPr>
            <w:tcW w:w="12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677</w:t>
            </w:r>
          </w:p>
        </w:tc>
        <w:tc>
          <w:tcPr>
            <w:tcW w:w="22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jc w:val="right"/>
              <w:ind w:right="34"/>
              <w:spacing w:after="0"/>
              <w:rPr>
                <w:sz w:val="20"/>
                <w:szCs w:val="20"/>
                <w:color w:val="auto"/>
              </w:rPr>
            </w:pPr>
            <w:r>
              <w:rPr>
                <w:rFonts w:ascii="Times New Roman" w:cs="Times New Roman" w:eastAsia="Times New Roman" w:hAnsi="Times New Roman"/>
                <w:sz w:val="5"/>
                <w:szCs w:val="5"/>
                <w:color w:val="auto"/>
                <w:w w:val="78"/>
              </w:rPr>
              <w:t>$</w:t>
            </w:r>
          </w:p>
        </w:tc>
        <w:tc>
          <w:tcPr>
            <w:tcW w:w="5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2,507</w:t>
            </w:r>
          </w:p>
        </w:tc>
        <w:tc>
          <w:tcPr>
            <w:tcW w:w="2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160"/>
        <w:spacing w:after="0" w:line="273" w:lineRule="auto"/>
        <w:rPr>
          <w:sz w:val="20"/>
          <w:szCs w:val="20"/>
          <w:color w:val="auto"/>
        </w:rPr>
      </w:pPr>
      <w:r>
        <w:rPr>
          <w:rFonts w:ascii="Times New Roman" w:cs="Times New Roman" w:eastAsia="Times New Roman" w:hAnsi="Times New Roman"/>
          <w:sz w:val="17"/>
          <w:szCs w:val="17"/>
          <w:color w:val="auto"/>
        </w:rPr>
        <w:t>Total Segment Adjusted EBITDA is a non-GAAP financial measure. Management believes that this measure is meaningful to investors because Total Segment Adjusted EBITDA provides additional information with respect to the Company's operating performance and the Company’s ability to meet its financial obligations. The Total Segment Adjusted EBITDA presented may not be comparable to similarly titled measures of other companies. Howmet’s definition of Total Segment Adjusted EBITDA (Earnings before interest, taxes, depreciation, and amortization) is net margin plus an add-back for depreciation and amortization. Net margin is equivalent to Sales minus the following items: Cost of goods sold; Selling, general administrative, and other expenses; Research and development expenses; and Provision for depreciation and amortization. Special items, including Restructuring and other charges (credits), are excluded from net margin and Segment Adjusted EBITDA. Differences between the total segment and consolidated totals are in Corporate.</w:t>
      </w:r>
    </w:p>
    <w:p>
      <w:pPr>
        <w:spacing w:after="0" w:line="136" w:lineRule="exact"/>
        <w:rPr>
          <w:sz w:val="20"/>
          <w:szCs w:val="20"/>
          <w:color w:val="auto"/>
        </w:rPr>
      </w:pPr>
    </w:p>
    <w:p>
      <w:pPr>
        <w:ind w:left="220" w:hanging="212"/>
        <w:spacing w:after="0"/>
        <w:tabs>
          <w:tab w:leader="none" w:pos="220" w:val="left"/>
        </w:tabs>
        <w:numPr>
          <w:ilvl w:val="0"/>
          <w:numId w:val="13"/>
        </w:numPr>
        <w:rPr>
          <w:rFonts w:ascii="Times New Roman" w:cs="Times New Roman" w:eastAsia="Times New Roman" w:hAnsi="Times New Roman"/>
          <w:sz w:val="27"/>
          <w:szCs w:val="27"/>
          <w:b w:val="1"/>
          <w:bCs w:val="1"/>
          <w:color w:val="auto"/>
          <w:vertAlign w:val="superscript"/>
        </w:rPr>
      </w:pPr>
      <w:r>
        <w:rPr>
          <w:rFonts w:ascii="Times New Roman" w:cs="Times New Roman" w:eastAsia="Times New Roman" w:hAnsi="Times New Roman"/>
          <w:sz w:val="16"/>
          <w:szCs w:val="16"/>
          <w:b w:val="1"/>
          <w:bCs w:val="1"/>
          <w:color w:val="auto"/>
        </w:rPr>
        <w:t>Pre-tax special items included in Corporate expense</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380" w:type="dxa"/>
            <w:vAlign w:val="bottom"/>
            <w:tcBorders>
              <w:bottom w:val="single" w:sz="8" w:color="CCEEFF"/>
            </w:tcBorders>
          </w:tcPr>
          <w:p>
            <w:pPr>
              <w:spacing w:after="0"/>
              <w:rPr>
                <w:sz w:val="15"/>
                <w:szCs w:val="15"/>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1Q24</w:t>
            </w:r>
          </w:p>
        </w:tc>
        <w:tc>
          <w:tcPr>
            <w:tcW w:w="16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2Q24</w:t>
            </w:r>
          </w:p>
        </w:tc>
        <w:tc>
          <w:tcPr>
            <w:tcW w:w="160" w:type="dxa"/>
            <w:vAlign w:val="bottom"/>
            <w:tcBorders>
              <w:bottom w:val="single" w:sz="8" w:color="auto"/>
            </w:tcBorders>
          </w:tcPr>
          <w:p>
            <w:pPr>
              <w:spacing w:after="0"/>
              <w:rPr>
                <w:sz w:val="15"/>
                <w:szCs w:val="15"/>
                <w:color w:val="auto"/>
              </w:rPr>
            </w:pPr>
          </w:p>
        </w:tc>
        <w:tc>
          <w:tcPr>
            <w:tcW w:w="240" w:type="dxa"/>
            <w:vAlign w:val="bottom"/>
            <w:tcBorders>
              <w:bottom w:val="single" w:sz="8" w:color="CCEEFF"/>
            </w:tcBorders>
          </w:tcPr>
          <w:p>
            <w:pPr>
              <w:spacing w:after="0"/>
              <w:rPr>
                <w:sz w:val="15"/>
                <w:szCs w:val="15"/>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3Q24</w:t>
            </w:r>
          </w:p>
        </w:tc>
        <w:tc>
          <w:tcPr>
            <w:tcW w:w="160" w:type="dxa"/>
            <w:vAlign w:val="bottom"/>
            <w:tcBorders>
              <w:bottom w:val="single" w:sz="8" w:color="auto"/>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4Q24</w:t>
            </w:r>
          </w:p>
        </w:tc>
        <w:tc>
          <w:tcPr>
            <w:tcW w:w="2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1Q25</w:t>
            </w:r>
          </w:p>
        </w:tc>
        <w:tc>
          <w:tcPr>
            <w:tcW w:w="2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2Q25</w:t>
            </w:r>
          </w:p>
        </w:tc>
        <w:tc>
          <w:tcPr>
            <w:tcW w:w="14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3Q25</w:t>
            </w:r>
          </w:p>
        </w:tc>
        <w:tc>
          <w:tcPr>
            <w:tcW w:w="220" w:type="dxa"/>
            <w:vAlign w:val="bottom"/>
            <w:tcBorders>
              <w:bottom w:val="single" w:sz="8" w:color="CCEEFF"/>
            </w:tcBorders>
          </w:tcPr>
          <w:p>
            <w:pPr>
              <w:spacing w:after="0"/>
              <w:rPr>
                <w:sz w:val="15"/>
                <w:szCs w:val="15"/>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4Q25</w:t>
            </w:r>
          </w:p>
        </w:tc>
        <w:tc>
          <w:tcPr>
            <w:tcW w:w="160" w:type="dxa"/>
            <w:vAlign w:val="bottom"/>
            <w:tcBorders>
              <w:bottom w:val="single" w:sz="8" w:color="auto"/>
            </w:tcBorders>
          </w:tcPr>
          <w:p>
            <w:pPr>
              <w:spacing w:after="0"/>
              <w:rPr>
                <w:sz w:val="15"/>
                <w:szCs w:val="15"/>
                <w:color w:val="auto"/>
              </w:rPr>
            </w:pPr>
          </w:p>
        </w:tc>
        <w:tc>
          <w:tcPr>
            <w:tcW w:w="24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bottom w:val="single" w:sz="8" w:color="CCEEFF"/>
            </w:tcBorders>
          </w:tcPr>
          <w:p>
            <w:pPr>
              <w:spacing w:after="0"/>
              <w:rPr>
                <w:sz w:val="15"/>
                <w:szCs w:val="15"/>
                <w:color w:val="auto"/>
              </w:rPr>
            </w:pPr>
          </w:p>
        </w:tc>
      </w:tr>
      <w:tr>
        <w:trPr>
          <w:trHeight w:val="142"/>
        </w:trPr>
        <w:tc>
          <w:tcPr>
            <w:tcW w:w="238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Plant fire reimbursements, net</w:t>
            </w:r>
          </w:p>
        </w:tc>
        <w:tc>
          <w:tcPr>
            <w:tcW w:w="540" w:type="dxa"/>
            <w:vAlign w:val="bottom"/>
            <w:shd w:val="clear" w:color="auto" w:fill="CCEEFF"/>
          </w:tcPr>
          <w:p>
            <w:pPr>
              <w:jc w:val="right"/>
              <w:ind w:right="38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6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jc w:val="right"/>
              <w:ind w:right="396"/>
              <w:spacing w:after="0"/>
              <w:rPr>
                <w:sz w:val="20"/>
                <w:szCs w:val="20"/>
                <w:color w:val="auto"/>
              </w:rPr>
            </w:pPr>
            <w:r>
              <w:rPr>
                <w:rFonts w:ascii="Times New Roman" w:cs="Times New Roman" w:eastAsia="Times New Roman" w:hAnsi="Times New Roman"/>
                <w:sz w:val="11"/>
                <w:szCs w:val="11"/>
                <w:color w:val="auto"/>
                <w:w w:val="71"/>
              </w:rPr>
              <w:t>$</w:t>
            </w:r>
          </w:p>
        </w:tc>
        <w:tc>
          <w:tcPr>
            <w:tcW w:w="400" w:type="dxa"/>
            <w:vAlign w:val="bottom"/>
            <w:gridSpan w:val="2"/>
            <w:shd w:val="clear" w:color="auto" w:fill="CCEEFF"/>
          </w:tcPr>
          <w:p>
            <w:pPr>
              <w:jc w:val="right"/>
              <w:ind w:right="180"/>
              <w:spacing w:after="0" w:line="142" w:lineRule="exact"/>
              <w:rPr>
                <w:sz w:val="20"/>
                <w:szCs w:val="20"/>
                <w:color w:val="auto"/>
              </w:rPr>
            </w:pPr>
            <w:r>
              <w:rPr>
                <w:rFonts w:ascii="Times New Roman" w:cs="Times New Roman" w:eastAsia="Times New Roman" w:hAnsi="Times New Roman"/>
                <w:sz w:val="14"/>
                <w:szCs w:val="14"/>
                <w:color w:val="auto"/>
              </w:rPr>
              <w:t>(6)</w:t>
            </w:r>
          </w:p>
        </w:tc>
        <w:tc>
          <w:tcPr>
            <w:tcW w:w="540" w:type="dxa"/>
            <w:vAlign w:val="bottom"/>
            <w:shd w:val="clear" w:color="auto" w:fill="CCEEFF"/>
          </w:tcPr>
          <w:p>
            <w:pPr>
              <w:jc w:val="right"/>
              <w:ind w:right="38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6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99"/>
              </w:rPr>
              <w:t>—</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(12)</w:t>
            </w: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(18)</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shd w:val="clear" w:color="auto" w:fill="CCEEFF"/>
          </w:tcPr>
          <w:p>
            <w:pPr>
              <w:ind w:left="400"/>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220" w:type="dxa"/>
            <w:vAlign w:val="bottom"/>
            <w:shd w:val="clear" w:color="auto" w:fill="CCEEFF"/>
          </w:tcPr>
          <w:p>
            <w:pPr>
              <w:spacing w:after="0"/>
              <w:rPr>
                <w:sz w:val="12"/>
                <w:szCs w:val="12"/>
                <w:color w:val="auto"/>
              </w:rPr>
            </w:pPr>
          </w:p>
        </w:tc>
        <w:tc>
          <w:tcPr>
            <w:tcW w:w="500" w:type="dxa"/>
            <w:vAlign w:val="bottom"/>
            <w:shd w:val="clear" w:color="auto" w:fill="CCEEFF"/>
          </w:tcPr>
          <w:p>
            <w:pPr>
              <w:jc w:val="right"/>
              <w:ind w:right="378"/>
              <w:spacing w:after="0"/>
              <w:rPr>
                <w:sz w:val="20"/>
                <w:szCs w:val="20"/>
                <w:color w:val="auto"/>
              </w:rPr>
            </w:pPr>
            <w:r>
              <w:rPr>
                <w:rFonts w:ascii="Times New Roman" w:cs="Times New Roman" w:eastAsia="Times New Roman" w:hAnsi="Times New Roman"/>
                <w:sz w:val="11"/>
                <w:szCs w:val="11"/>
                <w:color w:val="auto"/>
                <w:w w:val="71"/>
              </w:rPr>
              <w:t>$</w:t>
            </w:r>
          </w:p>
        </w:tc>
        <w:tc>
          <w:tcPr>
            <w:tcW w:w="16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99"/>
              </w:rPr>
              <w:t>—</w:t>
            </w:r>
          </w:p>
        </w:tc>
        <w:tc>
          <w:tcPr>
            <w:tcW w:w="24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5"/>
                <w:szCs w:val="5"/>
                <w:color w:val="auto"/>
                <w:w w:val="78"/>
              </w:rPr>
              <w:t>$</w:t>
            </w:r>
          </w:p>
        </w:tc>
        <w:tc>
          <w:tcPr>
            <w:tcW w:w="560" w:type="dxa"/>
            <w:vAlign w:val="bottom"/>
            <w:tcBorders>
              <w:right w:val="single" w:sz="8" w:color="CCEEFF"/>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r>
      <w:tr>
        <w:trPr>
          <w:trHeight w:val="148"/>
        </w:trPr>
        <w:tc>
          <w:tcPr>
            <w:tcW w:w="23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Acquisition costs</w:t>
            </w:r>
          </w:p>
        </w:tc>
        <w:tc>
          <w:tcPr>
            <w:tcW w:w="540" w:type="dxa"/>
            <w:vAlign w:val="bottom"/>
          </w:tcPr>
          <w:p>
            <w:pPr>
              <w:spacing w:after="0"/>
              <w:rPr>
                <w:sz w:val="12"/>
                <w:szCs w:val="12"/>
                <w:color w:val="auto"/>
              </w:rPr>
            </w:pPr>
          </w:p>
        </w:tc>
        <w:tc>
          <w:tcPr>
            <w:tcW w:w="28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540" w:type="dxa"/>
            <w:vAlign w:val="bottom"/>
          </w:tcPr>
          <w:p>
            <w:pPr>
              <w:spacing w:after="0"/>
              <w:rPr>
                <w:sz w:val="12"/>
                <w:szCs w:val="12"/>
                <w:color w:val="auto"/>
              </w:rPr>
            </w:pPr>
          </w:p>
        </w:tc>
        <w:tc>
          <w:tcPr>
            <w:tcW w:w="30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66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68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tcPr>
          <w:p>
            <w:pPr>
              <w:ind w:left="4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spacing w:after="0"/>
              <w:rPr>
                <w:sz w:val="12"/>
                <w:szCs w:val="12"/>
                <w:color w:val="auto"/>
              </w:rPr>
            </w:pPr>
          </w:p>
        </w:tc>
        <w:tc>
          <w:tcPr>
            <w:tcW w:w="40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w:t>
            </w:r>
          </w:p>
        </w:tc>
        <w:tc>
          <w:tcPr>
            <w:tcW w:w="80" w:type="dxa"/>
            <w:vAlign w:val="bottom"/>
          </w:tcPr>
          <w:p>
            <w:pPr>
              <w:spacing w:after="0"/>
              <w:rPr>
                <w:sz w:val="12"/>
                <w:szCs w:val="12"/>
                <w:color w:val="auto"/>
              </w:rPr>
            </w:pPr>
          </w:p>
        </w:tc>
      </w:tr>
      <w:tr>
        <w:trPr>
          <w:trHeight w:val="126"/>
        </w:trPr>
        <w:tc>
          <w:tcPr>
            <w:tcW w:w="238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Costs (benefits) associated with</w:t>
            </w:r>
          </w:p>
        </w:tc>
        <w:tc>
          <w:tcPr>
            <w:tcW w:w="5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240" w:type="dxa"/>
            <w:vAlign w:val="bottom"/>
            <w:tcBorders>
              <w:right w:val="single" w:sz="8" w:color="CCEEFF"/>
            </w:tcBorders>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tcBorders>
              <w:right w:val="single" w:sz="8" w:color="CCEEFF"/>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r>
      <w:tr>
        <w:trPr>
          <w:trHeight w:val="148"/>
        </w:trPr>
        <w:tc>
          <w:tcPr>
            <w:tcW w:w="23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closures, supply chain disruptions, and</w:t>
            </w:r>
          </w:p>
        </w:tc>
        <w:tc>
          <w:tcPr>
            <w:tcW w:w="5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4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r>
      <w:tr>
        <w:trPr>
          <w:trHeight w:val="185"/>
        </w:trPr>
        <w:tc>
          <w:tcPr>
            <w:tcW w:w="23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items</w:t>
            </w:r>
          </w:p>
        </w:tc>
        <w:tc>
          <w:tcPr>
            <w:tcW w:w="540" w:type="dxa"/>
            <w:vAlign w:val="bottom"/>
            <w:shd w:val="clear" w:color="auto" w:fill="CCEEFF"/>
          </w:tcPr>
          <w:p>
            <w:pPr>
              <w:spacing w:after="0"/>
              <w:rPr>
                <w:sz w:val="16"/>
                <w:szCs w:val="16"/>
                <w:color w:val="auto"/>
              </w:rPr>
            </w:pPr>
          </w:p>
        </w:tc>
        <w:tc>
          <w:tcPr>
            <w:tcW w:w="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4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w w:val="99"/>
              </w:rPr>
              <w:t>—</w:t>
            </w:r>
          </w:p>
        </w:tc>
        <w:tc>
          <w:tcPr>
            <w:tcW w:w="540" w:type="dxa"/>
            <w:vAlign w:val="bottom"/>
            <w:shd w:val="clear" w:color="auto" w:fill="CCEEFF"/>
          </w:tcPr>
          <w:p>
            <w:pPr>
              <w:spacing w:after="0"/>
              <w:rPr>
                <w:sz w:val="16"/>
                <w:szCs w:val="16"/>
                <w:color w:val="auto"/>
              </w:rPr>
            </w:pPr>
          </w:p>
        </w:tc>
        <w:tc>
          <w:tcPr>
            <w:tcW w:w="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w:t>
            </w:r>
          </w:p>
        </w:tc>
        <w:tc>
          <w:tcPr>
            <w:tcW w:w="14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shd w:val="clear" w:color="auto" w:fill="CCEEFF"/>
          </w:tcPr>
          <w:p>
            <w:pPr>
              <w:spacing w:after="0"/>
              <w:rPr>
                <w:sz w:val="16"/>
                <w:szCs w:val="16"/>
                <w:color w:val="auto"/>
              </w:rPr>
            </w:pPr>
          </w:p>
        </w:tc>
        <w:tc>
          <w:tcPr>
            <w:tcW w:w="400" w:type="dxa"/>
            <w:vAlign w:val="bottom"/>
            <w:tcBorders>
              <w:right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6"/>
                <w:szCs w:val="16"/>
                <w:color w:val="auto"/>
              </w:rPr>
            </w:pPr>
          </w:p>
        </w:tc>
        <w:tc>
          <w:tcPr>
            <w:tcW w:w="5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shd w:val="clear" w:color="auto" w:fill="CCEEFF"/>
          </w:tcPr>
          <w:p>
            <w:pPr>
              <w:spacing w:after="0"/>
              <w:rPr>
                <w:sz w:val="16"/>
                <w:szCs w:val="16"/>
                <w:color w:val="auto"/>
              </w:rPr>
            </w:pPr>
          </w:p>
        </w:tc>
      </w:tr>
      <w:tr>
        <w:trPr>
          <w:trHeight w:val="106"/>
        </w:trPr>
        <w:tc>
          <w:tcPr>
            <w:tcW w:w="2380" w:type="dxa"/>
            <w:vAlign w:val="bottom"/>
          </w:tcPr>
          <w:p>
            <w:pPr>
              <w:spacing w:after="0" w:line="106" w:lineRule="exact"/>
              <w:rPr>
                <w:sz w:val="20"/>
                <w:szCs w:val="20"/>
                <w:color w:val="auto"/>
              </w:rPr>
            </w:pPr>
            <w:r>
              <w:rPr>
                <w:rFonts w:ascii="Times New Roman" w:cs="Times New Roman" w:eastAsia="Times New Roman" w:hAnsi="Times New Roman"/>
                <w:sz w:val="12"/>
                <w:szCs w:val="12"/>
                <w:color w:val="auto"/>
              </w:rPr>
              <w:t>Total Pre-tax special items included in</w:t>
            </w:r>
          </w:p>
        </w:tc>
        <w:tc>
          <w:tcPr>
            <w:tcW w:w="540" w:type="dxa"/>
            <w:vAlign w:val="bottom"/>
            <w:tcBorders>
              <w:top w:val="single" w:sz="8" w:color="auto"/>
            </w:tcBorders>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Borders>
              <w:top w:val="single" w:sz="8" w:color="auto"/>
            </w:tcBorders>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540" w:type="dxa"/>
            <w:vAlign w:val="bottom"/>
            <w:tcBorders>
              <w:top w:val="single" w:sz="8" w:color="auto"/>
            </w:tcBorders>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560" w:type="dxa"/>
            <w:vAlign w:val="bottom"/>
            <w:tcBorders>
              <w:top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520" w:type="dxa"/>
            <w:vAlign w:val="bottom"/>
            <w:tcBorders>
              <w:top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540" w:type="dxa"/>
            <w:vAlign w:val="bottom"/>
            <w:tcBorders>
              <w:top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540" w:type="dxa"/>
            <w:vAlign w:val="bottom"/>
            <w:tcBorders>
              <w:top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540" w:type="dxa"/>
            <w:vAlign w:val="bottom"/>
            <w:tcBorders>
              <w:top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500" w:type="dxa"/>
            <w:vAlign w:val="bottom"/>
            <w:tcBorders>
              <w:top w:val="single" w:sz="8" w:color="auto"/>
            </w:tcBorders>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56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r>
      <w:tr>
        <w:trPr>
          <w:trHeight w:val="185"/>
        </w:trPr>
        <w:tc>
          <w:tcPr>
            <w:tcW w:w="2380" w:type="dxa"/>
            <w:vAlign w:val="bottom"/>
          </w:tcPr>
          <w:p>
            <w:pPr>
              <w:spacing w:after="0"/>
              <w:rPr>
                <w:sz w:val="20"/>
                <w:szCs w:val="20"/>
                <w:color w:val="auto"/>
              </w:rPr>
            </w:pPr>
            <w:r>
              <w:rPr>
                <w:rFonts w:ascii="Times New Roman" w:cs="Times New Roman" w:eastAsia="Times New Roman" w:hAnsi="Times New Roman"/>
                <w:sz w:val="14"/>
                <w:szCs w:val="14"/>
                <w:color w:val="auto"/>
              </w:rPr>
              <w:t>Corporate expense</w:t>
            </w:r>
          </w:p>
        </w:tc>
        <w:tc>
          <w:tcPr>
            <w:tcW w:w="540" w:type="dxa"/>
            <w:vAlign w:val="bottom"/>
          </w:tcPr>
          <w:p>
            <w:pPr>
              <w:jc w:val="right"/>
              <w:ind w:right="388"/>
              <w:spacing w:after="0"/>
              <w:rPr>
                <w:sz w:val="20"/>
                <w:szCs w:val="20"/>
                <w:color w:val="auto"/>
              </w:rPr>
            </w:pPr>
            <w:r>
              <w:rPr>
                <w:rFonts w:ascii="Times New Roman" w:cs="Times New Roman" w:eastAsia="Times New Roman" w:hAnsi="Times New Roman"/>
                <w:sz w:val="14"/>
                <w:szCs w:val="14"/>
                <w:color w:val="auto"/>
                <w:w w:val="85"/>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tcPr>
          <w:p>
            <w:pPr>
              <w:spacing w:after="0"/>
              <w:rPr>
                <w:sz w:val="16"/>
                <w:szCs w:val="16"/>
                <w:color w:val="auto"/>
              </w:rPr>
            </w:pPr>
          </w:p>
        </w:tc>
        <w:tc>
          <w:tcPr>
            <w:tcW w:w="640" w:type="dxa"/>
            <w:vAlign w:val="bottom"/>
            <w:gridSpan w:val="2"/>
          </w:tcPr>
          <w:p>
            <w:pPr>
              <w:jc w:val="right"/>
              <w:ind w:right="396"/>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(6)</w:t>
            </w:r>
          </w:p>
        </w:tc>
        <w:tc>
          <w:tcPr>
            <w:tcW w:w="540" w:type="dxa"/>
            <w:vAlign w:val="bottom"/>
          </w:tcPr>
          <w:p>
            <w:pPr>
              <w:jc w:val="right"/>
              <w:ind w:right="388"/>
              <w:spacing w:after="0"/>
              <w:rPr>
                <w:sz w:val="20"/>
                <w:szCs w:val="20"/>
                <w:color w:val="auto"/>
              </w:rPr>
            </w:pPr>
            <w:r>
              <w:rPr>
                <w:rFonts w:ascii="Times New Roman" w:cs="Times New Roman" w:eastAsia="Times New Roman" w:hAnsi="Times New Roman"/>
                <w:sz w:val="14"/>
                <w:szCs w:val="14"/>
                <w:color w:val="auto"/>
                <w:w w:val="85"/>
              </w:rPr>
              <w:t>$</w:t>
            </w: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(11)</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(17)</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w:t>
            </w:r>
          </w:p>
        </w:tc>
        <w:tc>
          <w:tcPr>
            <w:tcW w:w="200" w:type="dxa"/>
            <w:vAlign w:val="bottom"/>
            <w:gridSpan w:val="2"/>
          </w:tcPr>
          <w:p>
            <w:pPr>
              <w:jc w:val="right"/>
              <w:ind w:right="3"/>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jc w:val="right"/>
              <w:ind w:right="378"/>
              <w:spacing w:after="0"/>
              <w:rPr>
                <w:sz w:val="20"/>
                <w:szCs w:val="20"/>
                <w:color w:val="auto"/>
              </w:rPr>
            </w:pPr>
            <w:r>
              <w:rPr>
                <w:rFonts w:ascii="Times New Roman" w:cs="Times New Roman" w:eastAsia="Times New Roman" w:hAnsi="Times New Roman"/>
                <w:sz w:val="11"/>
                <w:szCs w:val="11"/>
                <w:color w:val="auto"/>
                <w:w w:val="71"/>
              </w:rPr>
              <w:t>$</w:t>
            </w:r>
          </w:p>
        </w:tc>
        <w:tc>
          <w:tcPr>
            <w:tcW w:w="4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Pr>
          <w:p>
            <w:pPr>
              <w:jc w:val="right"/>
              <w:ind w:right="34"/>
              <w:spacing w:after="0"/>
              <w:rPr>
                <w:sz w:val="20"/>
                <w:szCs w:val="20"/>
                <w:color w:val="auto"/>
              </w:rPr>
            </w:pPr>
            <w:r>
              <w:rPr>
                <w:rFonts w:ascii="Times New Roman" w:cs="Times New Roman" w:eastAsia="Times New Roman" w:hAnsi="Times New Roman"/>
                <w:sz w:val="5"/>
                <w:szCs w:val="5"/>
                <w:color w:val="auto"/>
                <w:w w:val="78"/>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tcPr>
          <w:p>
            <w:pPr>
              <w:spacing w:after="0"/>
              <w:rPr>
                <w:sz w:val="16"/>
                <w:szCs w:val="16"/>
                <w:color w:val="auto"/>
              </w:rPr>
            </w:pPr>
          </w:p>
        </w:tc>
      </w:tr>
      <w:tr>
        <w:trPr>
          <w:trHeight w:val="20"/>
        </w:trPr>
        <w:tc>
          <w:tcPr>
            <w:tcW w:w="23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color w:val="auto"/>
        </w:rPr>
        <w:t>Howmet Aerospace Inc.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Calculation of Financial Measures (unaudited), continued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 U.S. dollar millions, except per-share and share amounts)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9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Reconciliation of Net income excluding</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Quarter ended</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700" w:type="dxa"/>
            <w:vAlign w:val="bottom"/>
            <w:gridSpan w:val="6"/>
          </w:tcPr>
          <w:p>
            <w:pPr>
              <w:jc w:val="right"/>
              <w:ind w:right="1020"/>
              <w:spacing w:after="0"/>
              <w:rPr>
                <w:sz w:val="20"/>
                <w:szCs w:val="20"/>
                <w:color w:val="auto"/>
              </w:rPr>
            </w:pPr>
            <w:r>
              <w:rPr>
                <w:rFonts w:ascii="Times New Roman" w:cs="Times New Roman" w:eastAsia="Times New Roman" w:hAnsi="Times New Roman"/>
                <w:sz w:val="18"/>
                <w:szCs w:val="18"/>
                <w:b w:val="1"/>
                <w:bCs w:val="1"/>
                <w:color w:val="auto"/>
              </w:rPr>
              <w:t>Year ended</w:t>
            </w:r>
          </w:p>
        </w:tc>
        <w:tc>
          <w:tcPr>
            <w:tcW w:w="0" w:type="dxa"/>
            <w:vAlign w:val="bottom"/>
          </w:tcPr>
          <w:p>
            <w:pPr>
              <w:spacing w:after="0"/>
              <w:rPr>
                <w:sz w:val="1"/>
                <w:szCs w:val="1"/>
                <w:color w:val="auto"/>
              </w:rPr>
            </w:pPr>
          </w:p>
        </w:tc>
      </w:tr>
      <w:tr>
        <w:trPr>
          <w:trHeight w:val="187"/>
        </w:trPr>
        <w:tc>
          <w:tcPr>
            <w:tcW w:w="394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gridSpan w:val="2"/>
          </w:tcPr>
          <w:p>
            <w:pPr>
              <w:jc w:val="right"/>
              <w:ind w:right="220"/>
              <w:spacing w:after="0" w:line="188" w:lineRule="exact"/>
              <w:rPr>
                <w:sz w:val="20"/>
                <w:szCs w:val="20"/>
                <w:color w:val="auto"/>
              </w:rPr>
            </w:pPr>
            <w:r>
              <w:rPr>
                <w:rFonts w:ascii="Times New Roman" w:cs="Times New Roman" w:eastAsia="Times New Roman" w:hAnsi="Times New Roman"/>
                <w:sz w:val="18"/>
                <w:szCs w:val="18"/>
                <w:b w:val="1"/>
                <w:bCs w:val="1"/>
                <w:color w:val="auto"/>
                <w:w w:val="99"/>
              </w:rPr>
              <w:t>December 31,</w:t>
            </w:r>
          </w:p>
        </w:tc>
        <w:tc>
          <w:tcPr>
            <w:tcW w:w="8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jc w:val="right"/>
              <w:ind w:right="10"/>
              <w:spacing w:after="0" w:line="188" w:lineRule="exact"/>
              <w:rPr>
                <w:sz w:val="20"/>
                <w:szCs w:val="20"/>
                <w:color w:val="auto"/>
              </w:rPr>
            </w:pPr>
            <w:r>
              <w:rPr>
                <w:rFonts w:ascii="Times New Roman" w:cs="Times New Roman" w:eastAsia="Times New Roman" w:hAnsi="Times New Roman"/>
                <w:sz w:val="18"/>
                <w:szCs w:val="18"/>
                <w:b w:val="1"/>
                <w:bCs w:val="1"/>
                <w:color w:val="auto"/>
                <w:w w:val="97"/>
              </w:rPr>
              <w:t>December 31,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3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Special items</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b w:val="1"/>
                <w:bCs w:val="1"/>
                <w:color w:val="auto"/>
              </w:rPr>
              <w:t>4Q24</w:t>
            </w:r>
          </w:p>
        </w:tc>
        <w:tc>
          <w:tcPr>
            <w:tcW w:w="260" w:type="dxa"/>
            <w:vAlign w:val="bottom"/>
          </w:tcPr>
          <w:p>
            <w:pPr>
              <w:spacing w:after="0"/>
              <w:rPr>
                <w:sz w:val="20"/>
                <w:szCs w:val="20"/>
                <w:color w:val="auto"/>
              </w:rPr>
            </w:pPr>
          </w:p>
        </w:tc>
        <w:tc>
          <w:tcPr>
            <w:tcW w:w="108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3Q25</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b w:val="1"/>
                <w:bCs w:val="1"/>
                <w:color w:val="auto"/>
              </w:rPr>
              <w:t>4Q25</w:t>
            </w:r>
          </w:p>
        </w:tc>
        <w:tc>
          <w:tcPr>
            <w:tcW w:w="80" w:type="dxa"/>
            <w:vAlign w:val="bottom"/>
          </w:tcPr>
          <w:p>
            <w:pPr>
              <w:spacing w:after="0"/>
              <w:rPr>
                <w:sz w:val="20"/>
                <w:szCs w:val="20"/>
                <w:color w:val="auto"/>
              </w:rPr>
            </w:pPr>
          </w:p>
        </w:tc>
        <w:tc>
          <w:tcPr>
            <w:tcW w:w="114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39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1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w:t>
            </w:r>
          </w:p>
        </w:tc>
        <w:tc>
          <w:tcPr>
            <w:tcW w:w="2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w:t>
            </w:r>
          </w:p>
        </w:tc>
        <w:tc>
          <w:tcPr>
            <w:tcW w:w="2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1,155</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 earnings per share ("EPS")</w:t>
            </w:r>
          </w:p>
        </w:tc>
        <w:tc>
          <w:tcPr>
            <w:tcW w:w="380" w:type="dxa"/>
            <w:vAlign w:val="bottom"/>
            <w:gridSpan w:val="2"/>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0.77</w:t>
            </w:r>
          </w:p>
        </w:tc>
        <w:tc>
          <w:tcPr>
            <w:tcW w:w="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0.95</w:t>
            </w:r>
          </w:p>
        </w:tc>
        <w:tc>
          <w:tcPr>
            <w:tcW w:w="360" w:type="dxa"/>
            <w:vAlign w:val="bottom"/>
            <w:gridSpan w:val="2"/>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0.92</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2.81</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3.71</w:t>
            </w:r>
          </w:p>
        </w:tc>
        <w:tc>
          <w:tcPr>
            <w:tcW w:w="0" w:type="dxa"/>
            <w:vAlign w:val="bottom"/>
          </w:tcPr>
          <w:p>
            <w:pPr>
              <w:spacing w:after="0"/>
              <w:rPr>
                <w:sz w:val="1"/>
                <w:szCs w:val="1"/>
                <w:color w:val="auto"/>
              </w:rPr>
            </w:pPr>
          </w:p>
        </w:tc>
      </w:tr>
      <w:tr>
        <w:trPr>
          <w:trHeight w:val="216"/>
        </w:trPr>
        <w:tc>
          <w:tcPr>
            <w:tcW w:w="3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Average number of diluted shares</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408</w:t>
            </w: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405</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404</w:t>
            </w: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410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406</w:t>
            </w:r>
          </w:p>
        </w:tc>
        <w:tc>
          <w:tcPr>
            <w:tcW w:w="0" w:type="dxa"/>
            <w:vAlign w:val="bottom"/>
          </w:tcPr>
          <w:p>
            <w:pPr>
              <w:spacing w:after="0"/>
              <w:rPr>
                <w:sz w:val="1"/>
                <w:szCs w:val="1"/>
                <w:color w:val="auto"/>
              </w:rPr>
            </w:pPr>
          </w:p>
        </w:tc>
      </w:tr>
      <w:tr>
        <w:trPr>
          <w:trHeight w:val="216"/>
        </w:trPr>
        <w:tc>
          <w:tcPr>
            <w:tcW w:w="3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Special items:</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3940" w:type="dxa"/>
            <w:vAlign w:val="bottom"/>
          </w:tcPr>
          <w:p>
            <w:pPr>
              <w:ind w:left="340"/>
              <w:spacing w:after="0" w:line="256" w:lineRule="exact"/>
              <w:rPr>
                <w:sz w:val="20"/>
                <w:szCs w:val="20"/>
                <w:color w:val="auto"/>
              </w:rPr>
            </w:pPr>
            <w:r>
              <w:rPr>
                <w:rFonts w:ascii="Times New Roman" w:cs="Times New Roman" w:eastAsia="Times New Roman" w:hAnsi="Times New Roman"/>
                <w:sz w:val="18"/>
                <w:szCs w:val="18"/>
                <w:color w:val="auto"/>
              </w:rPr>
              <w:t>Restructuring and other charges</w:t>
            </w:r>
            <w:r>
              <w:rPr>
                <w:rFonts w:ascii="Times New Roman" w:cs="Times New Roman" w:eastAsia="Times New Roman" w:hAnsi="Times New Roman"/>
                <w:sz w:val="29"/>
                <w:szCs w:val="29"/>
                <w:color w:val="auto"/>
                <w:vertAlign w:val="superscript"/>
              </w:rPr>
              <w:t>(1)</w:t>
            </w:r>
          </w:p>
        </w:tc>
        <w:tc>
          <w:tcPr>
            <w:tcW w:w="1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2"/>
                <w:szCs w:val="22"/>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88</w:t>
            </w:r>
          </w:p>
        </w:tc>
        <w:tc>
          <w:tcPr>
            <w:tcW w:w="80" w:type="dxa"/>
            <w:vAlign w:val="bottom"/>
          </w:tcPr>
          <w:p>
            <w:pPr>
              <w:spacing w:after="0"/>
              <w:rPr>
                <w:sz w:val="22"/>
                <w:szCs w:val="22"/>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21</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84</w:t>
            </w: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Loss on debt redemption</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w:t>
            </w: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16"/>
        </w:trPr>
        <w:tc>
          <w:tcPr>
            <w:tcW w:w="39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Plant fire reimbursements, net</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(12)</w:t>
            </w:r>
          </w:p>
        </w:tc>
        <w:tc>
          <w:tcPr>
            <w:tcW w:w="2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Acquisition costs</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198"/>
        </w:trPr>
        <w:tc>
          <w:tcPr>
            <w:tcW w:w="3940" w:type="dxa"/>
            <w:vAlign w:val="bottom"/>
          </w:tcPr>
          <w:p>
            <w:pPr>
              <w:ind w:left="340"/>
              <w:spacing w:after="0" w:line="198" w:lineRule="exact"/>
              <w:rPr>
                <w:sz w:val="20"/>
                <w:szCs w:val="20"/>
                <w:color w:val="auto"/>
              </w:rPr>
            </w:pPr>
            <w:r>
              <w:rPr>
                <w:rFonts w:ascii="Times New Roman" w:cs="Times New Roman" w:eastAsia="Times New Roman" w:hAnsi="Times New Roman"/>
                <w:sz w:val="18"/>
                <w:szCs w:val="18"/>
                <w:color w:val="auto"/>
              </w:rPr>
              <w:t>Costs associated with closures, supply chain</w:t>
            </w: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39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disruptions, and other items</w:t>
            </w: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w:t>
            </w:r>
          </w:p>
        </w:tc>
        <w:tc>
          <w:tcPr>
            <w:tcW w:w="260" w:type="dxa"/>
            <w:vAlign w:val="bottom"/>
          </w:tcPr>
          <w:p>
            <w:pPr>
              <w:spacing w:after="0"/>
              <w:rPr>
                <w:sz w:val="21"/>
                <w:szCs w:val="21"/>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21"/>
                <w:szCs w:val="21"/>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0"/>
        </w:trPr>
        <w:tc>
          <w:tcPr>
            <w:tcW w:w="394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Subtotal: Pre-tax special items</w:t>
            </w:r>
          </w:p>
        </w:tc>
        <w:tc>
          <w:tcPr>
            <w:tcW w:w="1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2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3940" w:type="dxa"/>
            <w:vAlign w:val="bottom"/>
          </w:tcPr>
          <w:p>
            <w:pPr>
              <w:ind w:left="180"/>
              <w:spacing w:after="0" w:line="270" w:lineRule="exact"/>
              <w:rPr>
                <w:sz w:val="20"/>
                <w:szCs w:val="20"/>
                <w:color w:val="auto"/>
              </w:rPr>
            </w:pPr>
            <w:r>
              <w:rPr>
                <w:rFonts w:ascii="Times New Roman" w:cs="Times New Roman" w:eastAsia="Times New Roman" w:hAnsi="Times New Roman"/>
                <w:sz w:val="18"/>
                <w:szCs w:val="18"/>
                <w:color w:val="auto"/>
              </w:rPr>
              <w:t>Tax impact of Pre-tax special items</w:t>
            </w:r>
            <w:r>
              <w:rPr>
                <w:rFonts w:ascii="Times New Roman" w:cs="Times New Roman" w:eastAsia="Times New Roman" w:hAnsi="Times New Roman"/>
                <w:sz w:val="29"/>
                <w:szCs w:val="29"/>
                <w:color w:val="auto"/>
                <w:vertAlign w:val="superscript"/>
              </w:rPr>
              <w:t>(2)</w:t>
            </w:r>
          </w:p>
        </w:tc>
        <w:tc>
          <w:tcPr>
            <w:tcW w:w="1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w:t>
            </w:r>
          </w:p>
        </w:tc>
        <w:tc>
          <w:tcPr>
            <w:tcW w:w="260" w:type="dxa"/>
            <w:vAlign w:val="bottom"/>
          </w:tcPr>
          <w:p>
            <w:pPr>
              <w:spacing w:after="0"/>
              <w:rPr>
                <w:sz w:val="23"/>
                <w:szCs w:val="23"/>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(26)</w:t>
            </w:r>
          </w:p>
        </w:tc>
        <w:tc>
          <w:tcPr>
            <w:tcW w:w="80" w:type="dxa"/>
            <w:vAlign w:val="bottom"/>
          </w:tcPr>
          <w:p>
            <w:pPr>
              <w:spacing w:after="0"/>
              <w:rPr>
                <w:sz w:val="23"/>
                <w:szCs w:val="23"/>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0"/>
        </w:trPr>
        <w:tc>
          <w:tcPr>
            <w:tcW w:w="3940" w:type="dxa"/>
            <w:vAlign w:val="bottom"/>
            <w:vMerge w:val="restart"/>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Subtotal</w:t>
            </w:r>
          </w:p>
        </w:tc>
        <w:tc>
          <w:tcPr>
            <w:tcW w:w="14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40" w:type="dxa"/>
            <w:vAlign w:val="bottom"/>
            <w:vMerge w:val="restart"/>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94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(9)</w:t>
            </w: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2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3940" w:type="dxa"/>
            <w:vAlign w:val="bottom"/>
            <w:shd w:val="clear" w:color="auto" w:fill="CCEEFF"/>
          </w:tcPr>
          <w:p>
            <w:pPr>
              <w:ind w:left="180"/>
              <w:spacing w:after="0" w:line="270" w:lineRule="exact"/>
              <w:rPr>
                <w:sz w:val="20"/>
                <w:szCs w:val="20"/>
                <w:color w:val="auto"/>
              </w:rPr>
            </w:pPr>
            <w:r>
              <w:rPr>
                <w:rFonts w:ascii="Times New Roman" w:cs="Times New Roman" w:eastAsia="Times New Roman" w:hAnsi="Times New Roman"/>
                <w:sz w:val="18"/>
                <w:szCs w:val="18"/>
                <w:color w:val="auto"/>
              </w:rPr>
              <w:t>Discrete and other tax special items</w:t>
            </w:r>
            <w:r>
              <w:rPr>
                <w:rFonts w:ascii="Times New Roman" w:cs="Times New Roman" w:eastAsia="Times New Roman" w:hAnsi="Times New Roman"/>
                <w:sz w:val="29"/>
                <w:szCs w:val="29"/>
                <w:color w:val="auto"/>
                <w:vertAlign w:val="superscript"/>
              </w:rPr>
              <w:t>(3)</w:t>
            </w:r>
          </w:p>
        </w:tc>
        <w:tc>
          <w:tcPr>
            <w:tcW w:w="14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w:t>
            </w:r>
          </w:p>
        </w:tc>
        <w:tc>
          <w:tcPr>
            <w:tcW w:w="260" w:type="dxa"/>
            <w:vAlign w:val="bottom"/>
            <w:shd w:val="clear" w:color="auto" w:fill="CCEEFF"/>
          </w:tcPr>
          <w:p>
            <w:pPr>
              <w:spacing w:after="0"/>
              <w:rPr>
                <w:sz w:val="23"/>
                <w:szCs w:val="23"/>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(26)</w:t>
            </w:r>
          </w:p>
        </w:tc>
        <w:tc>
          <w:tcPr>
            <w:tcW w:w="80" w:type="dxa"/>
            <w:vAlign w:val="bottom"/>
            <w:shd w:val="clear" w:color="auto" w:fill="CCEEFF"/>
          </w:tcPr>
          <w:p>
            <w:pPr>
              <w:spacing w:after="0"/>
              <w:rPr>
                <w:sz w:val="23"/>
                <w:szCs w:val="23"/>
                <w:color w:val="auto"/>
              </w:rPr>
            </w:pPr>
          </w:p>
        </w:tc>
        <w:tc>
          <w:tcPr>
            <w:tcW w:w="1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(59)</w:t>
            </w:r>
          </w:p>
        </w:tc>
        <w:tc>
          <w:tcPr>
            <w:tcW w:w="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210"/>
        </w:trPr>
        <w:tc>
          <w:tcPr>
            <w:tcW w:w="3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After-tax special items</w:t>
            </w:r>
          </w:p>
        </w:tc>
        <w:tc>
          <w:tcPr>
            <w:tcW w:w="14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4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2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excluding Special items</w:t>
            </w:r>
          </w:p>
        </w:tc>
        <w:tc>
          <w:tcPr>
            <w:tcW w:w="380" w:type="dxa"/>
            <w:vAlign w:val="bottom"/>
            <w:gridSpan w:val="2"/>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303</w:t>
            </w:r>
          </w:p>
        </w:tc>
        <w:tc>
          <w:tcPr>
            <w:tcW w:w="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385</w:t>
            </w:r>
          </w:p>
        </w:tc>
        <w:tc>
          <w:tcPr>
            <w:tcW w:w="360" w:type="dxa"/>
            <w:vAlign w:val="bottom"/>
            <w:gridSpan w:val="2"/>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426</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1,107</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1,533</w:t>
            </w:r>
          </w:p>
        </w:tc>
        <w:tc>
          <w:tcPr>
            <w:tcW w:w="0" w:type="dxa"/>
            <w:vAlign w:val="bottom"/>
          </w:tcPr>
          <w:p>
            <w:pPr>
              <w:spacing w:after="0"/>
              <w:rPr>
                <w:sz w:val="1"/>
                <w:szCs w:val="1"/>
                <w:color w:val="auto"/>
              </w:rPr>
            </w:pPr>
          </w:p>
        </w:tc>
      </w:tr>
      <w:tr>
        <w:trPr>
          <w:trHeight w:val="20"/>
        </w:trPr>
        <w:tc>
          <w:tcPr>
            <w:tcW w:w="39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 EPS excluding Special items</w:t>
            </w:r>
          </w:p>
        </w:tc>
        <w:tc>
          <w:tcPr>
            <w:tcW w:w="380" w:type="dxa"/>
            <w:vAlign w:val="bottom"/>
            <w:gridSpan w:val="2"/>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0.74</w:t>
            </w:r>
          </w:p>
        </w:tc>
        <w:tc>
          <w:tcPr>
            <w:tcW w:w="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0.95</w:t>
            </w:r>
          </w:p>
        </w:tc>
        <w:tc>
          <w:tcPr>
            <w:tcW w:w="360" w:type="dxa"/>
            <w:vAlign w:val="bottom"/>
            <w:gridSpan w:val="2"/>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1.05</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2.69</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3.77</w:t>
            </w:r>
          </w:p>
        </w:tc>
        <w:tc>
          <w:tcPr>
            <w:tcW w:w="0" w:type="dxa"/>
            <w:vAlign w:val="bottom"/>
          </w:tcPr>
          <w:p>
            <w:pPr>
              <w:spacing w:after="0"/>
              <w:rPr>
                <w:sz w:val="1"/>
                <w:szCs w:val="1"/>
                <w:color w:val="auto"/>
              </w:rPr>
            </w:pPr>
          </w:p>
        </w:tc>
      </w:tr>
      <w:tr>
        <w:trPr>
          <w:trHeight w:val="20"/>
        </w:trPr>
        <w:tc>
          <w:tcPr>
            <w:tcW w:w="39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Net income excluding Special items and Diluted EPS excluding Special items are non-GAAP financial measures. Management believes that these measures are meaningful to investors because management reviews the operating results of the Company excluding the impacts of Restructuring and other charges, Discrete tax items, and Other special items (collectively, “Special items”). There can be no assurances that additional Special items will not occur in future periods. To compensate for this limitation, management believes that it is appropriate to consider both Net income and Diluted EPS determined under GAAP as well as Net income excluding Special items and Diluted EPS excluding Special items.</w:t>
      </w:r>
    </w:p>
    <w:p>
      <w:pPr>
        <w:spacing w:after="0" w:line="183" w:lineRule="exact"/>
        <w:rPr>
          <w:sz w:val="20"/>
          <w:szCs w:val="20"/>
          <w:color w:val="auto"/>
        </w:rPr>
      </w:pPr>
    </w:p>
    <w:p>
      <w:pPr>
        <w:ind w:left="500" w:right="40" w:hanging="492"/>
        <w:spacing w:after="0" w:line="219" w:lineRule="auto"/>
        <w:tabs>
          <w:tab w:leader="none" w:pos="500" w:val="left"/>
        </w:tabs>
        <w:numPr>
          <w:ilvl w:val="0"/>
          <w:numId w:val="14"/>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Restructuring and other charges for the quarter ended and year ended December 31, 2025 included a non-cash pension settlement charge of $89 primarily resulting from the purchase of group annuity contracts with a third-party carrier to pay and administer future annuity payments for its U.K. pension plan which reduced gross pension obligations. Restructuring and other charges for FY 2024 included a net loss on the sale of a small U.K. manufacturing facility in Engineered Structures of $13 and a charge for layoff costs of $10.</w:t>
      </w:r>
    </w:p>
    <w:p>
      <w:pPr>
        <w:spacing w:after="0" w:line="198" w:lineRule="exact"/>
        <w:rPr>
          <w:rFonts w:ascii="Times New Roman" w:cs="Times New Roman" w:eastAsia="Times New Roman" w:hAnsi="Times New Roman"/>
          <w:sz w:val="30"/>
          <w:szCs w:val="30"/>
          <w:color w:val="auto"/>
          <w:vertAlign w:val="superscript"/>
        </w:rPr>
      </w:pPr>
    </w:p>
    <w:p>
      <w:pPr>
        <w:ind w:left="500" w:right="380" w:hanging="492"/>
        <w:spacing w:after="0" w:line="195" w:lineRule="auto"/>
        <w:tabs>
          <w:tab w:leader="none" w:pos="500" w:val="left"/>
        </w:tabs>
        <w:numPr>
          <w:ilvl w:val="0"/>
          <w:numId w:val="14"/>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The Tax impact of Pre-tax special items is based on the applicable statutory rates whereby the difference between such rates and the Company’s consolidated estimated annual effective tax rate is itself a Special item.</w:t>
      </w:r>
    </w:p>
    <w:p>
      <w:pPr>
        <w:spacing w:after="0" w:line="199" w:lineRule="exact"/>
        <w:rPr>
          <w:rFonts w:ascii="Times New Roman" w:cs="Times New Roman" w:eastAsia="Times New Roman" w:hAnsi="Times New Roman"/>
          <w:sz w:val="30"/>
          <w:szCs w:val="30"/>
          <w:color w:val="auto"/>
          <w:vertAlign w:val="superscript"/>
        </w:rPr>
      </w:pPr>
    </w:p>
    <w:p>
      <w:pPr>
        <w:ind w:left="500" w:right="460" w:hanging="492"/>
        <w:spacing w:after="0" w:line="195" w:lineRule="auto"/>
        <w:tabs>
          <w:tab w:leader="none" w:pos="500" w:val="left"/>
        </w:tabs>
        <w:numPr>
          <w:ilvl w:val="0"/>
          <w:numId w:val="14"/>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Discrete tax items for the quarter ended December 31, 2025, year ended December 31, 2024, and year ended December 31, 2025 are discussed further in the Reconciliation of Operational Tax Rate. Discrete tax items for the remaining periods included the following:</w:t>
      </w:r>
    </w:p>
    <w:p>
      <w:pPr>
        <w:spacing w:after="0" w:line="199" w:lineRule="exact"/>
        <w:rPr>
          <w:rFonts w:ascii="Times New Roman" w:cs="Times New Roman" w:eastAsia="Times New Roman" w:hAnsi="Times New Roman"/>
          <w:sz w:val="30"/>
          <w:szCs w:val="30"/>
          <w:color w:val="auto"/>
          <w:vertAlign w:val="superscript"/>
        </w:rPr>
      </w:pPr>
    </w:p>
    <w:p>
      <w:pPr>
        <w:ind w:left="840" w:hanging="319"/>
        <w:spacing w:after="0" w:line="266" w:lineRule="auto"/>
        <w:tabs>
          <w:tab w:leader="none" w:pos="84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4Q24, a benefit to release a valuation allowance related to U.S. state tax losses and credits ($6), an excess tax benefit for stock compensation ($1), a charge for prior year audit assessments and tax adjustments $4, and a charge to adjust a valuation allowance related to U.S. foreign tax credits $2; and</w:t>
      </w:r>
    </w:p>
    <w:p>
      <w:pPr>
        <w:spacing w:after="0" w:line="175" w:lineRule="exact"/>
        <w:rPr>
          <w:rFonts w:ascii="Times New Roman" w:cs="Times New Roman" w:eastAsia="Times New Roman" w:hAnsi="Times New Roman"/>
          <w:sz w:val="18"/>
          <w:szCs w:val="18"/>
          <w:color w:val="auto"/>
        </w:rPr>
      </w:pPr>
    </w:p>
    <w:p>
      <w:pPr>
        <w:ind w:left="840" w:hanging="319"/>
        <w:spacing w:after="0"/>
        <w:tabs>
          <w:tab w:leader="none" w:pos="84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3Q25, a net benefit for other small items ($1).</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color w:val="auto"/>
        </w:rPr>
        <w:t>Howmet Aerospace Inc.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Calculation of Financial Measures (unaudited), continued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 U.S. dollar millions)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4Q25</w:t>
            </w:r>
          </w:p>
        </w:tc>
        <w:tc>
          <w:tcPr>
            <w:tcW w:w="12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gridSpan w:val="3"/>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w w:val="99"/>
              </w:rPr>
              <w:t>YTD 2024</w:t>
            </w:r>
          </w:p>
        </w:tc>
        <w:tc>
          <w:tcPr>
            <w:tcW w:w="1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YTD 2025</w:t>
            </w:r>
          </w:p>
        </w:tc>
        <w:tc>
          <w:tcPr>
            <w:tcW w:w="1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7"/>
        </w:trPr>
        <w:tc>
          <w:tcPr>
            <w:tcW w:w="11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Reconciliation</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60" w:type="dxa"/>
            <w:vAlign w:val="bottom"/>
            <w:gridSpan w:val="2"/>
          </w:tcPr>
          <w:p>
            <w:pPr>
              <w:jc w:val="center"/>
              <w:ind w:right="300"/>
              <w:spacing w:after="0" w:line="118" w:lineRule="exact"/>
              <w:rPr>
                <w:sz w:val="20"/>
                <w:szCs w:val="20"/>
                <w:color w:val="auto"/>
              </w:rPr>
            </w:pPr>
            <w:r>
              <w:rPr>
                <w:rFonts w:ascii="Times New Roman" w:cs="Times New Roman" w:eastAsia="Times New Roman" w:hAnsi="Times New Roman"/>
                <w:sz w:val="13"/>
                <w:szCs w:val="13"/>
                <w:b w:val="1"/>
                <w:bCs w:val="1"/>
                <w:color w:val="auto"/>
              </w:rPr>
              <w:t>Effective</w:t>
            </w: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6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Operational</w:t>
            </w:r>
          </w:p>
        </w:tc>
        <w:tc>
          <w:tcPr>
            <w:tcW w:w="100" w:type="dxa"/>
            <w:vAlign w:val="bottom"/>
          </w:tcPr>
          <w:p>
            <w:pPr>
              <w:spacing w:after="0"/>
              <w:rPr>
                <w:sz w:val="10"/>
                <w:szCs w:val="10"/>
                <w:color w:val="auto"/>
              </w:rPr>
            </w:pPr>
          </w:p>
        </w:tc>
        <w:tc>
          <w:tcPr>
            <w:tcW w:w="960" w:type="dxa"/>
            <w:vAlign w:val="bottom"/>
            <w:gridSpan w:val="2"/>
          </w:tcPr>
          <w:p>
            <w:pPr>
              <w:jc w:val="center"/>
              <w:ind w:right="320"/>
              <w:spacing w:after="0" w:line="118" w:lineRule="exact"/>
              <w:rPr>
                <w:sz w:val="20"/>
                <w:szCs w:val="20"/>
                <w:color w:val="auto"/>
              </w:rPr>
            </w:pPr>
            <w:r>
              <w:rPr>
                <w:rFonts w:ascii="Times New Roman" w:cs="Times New Roman" w:eastAsia="Times New Roman" w:hAnsi="Times New Roman"/>
                <w:sz w:val="13"/>
                <w:szCs w:val="13"/>
                <w:b w:val="1"/>
                <w:bCs w:val="1"/>
                <w:color w:val="auto"/>
              </w:rPr>
              <w:t>Effective</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4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Operational</w:t>
            </w:r>
          </w:p>
        </w:tc>
        <w:tc>
          <w:tcPr>
            <w:tcW w:w="120" w:type="dxa"/>
            <w:vAlign w:val="bottom"/>
          </w:tcPr>
          <w:p>
            <w:pPr>
              <w:spacing w:after="0"/>
              <w:rPr>
                <w:sz w:val="10"/>
                <w:szCs w:val="10"/>
                <w:color w:val="auto"/>
              </w:rPr>
            </w:pPr>
          </w:p>
        </w:tc>
        <w:tc>
          <w:tcPr>
            <w:tcW w:w="940" w:type="dxa"/>
            <w:vAlign w:val="bottom"/>
            <w:gridSpan w:val="2"/>
          </w:tcPr>
          <w:p>
            <w:pPr>
              <w:jc w:val="center"/>
              <w:ind w:right="320"/>
              <w:spacing w:after="0" w:line="118" w:lineRule="exact"/>
              <w:rPr>
                <w:sz w:val="20"/>
                <w:szCs w:val="20"/>
                <w:color w:val="auto"/>
              </w:rPr>
            </w:pPr>
            <w:r>
              <w:rPr>
                <w:rFonts w:ascii="Times New Roman" w:cs="Times New Roman" w:eastAsia="Times New Roman" w:hAnsi="Times New Roman"/>
                <w:sz w:val="13"/>
                <w:szCs w:val="13"/>
                <w:b w:val="1"/>
                <w:bCs w:val="1"/>
                <w:color w:val="auto"/>
              </w:rPr>
              <w:t>Effective</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Pr>
          <w:p>
            <w:pPr>
              <w:jc w:val="center"/>
              <w:ind w:right="9"/>
              <w:spacing w:after="0" w:line="118" w:lineRule="exact"/>
              <w:rPr>
                <w:sz w:val="20"/>
                <w:szCs w:val="20"/>
                <w:color w:val="auto"/>
              </w:rPr>
            </w:pPr>
            <w:r>
              <w:rPr>
                <w:rFonts w:ascii="Times New Roman" w:cs="Times New Roman" w:eastAsia="Times New Roman" w:hAnsi="Times New Roman"/>
                <w:sz w:val="13"/>
                <w:szCs w:val="13"/>
                <w:b w:val="1"/>
                <w:bCs w:val="1"/>
                <w:color w:val="auto"/>
              </w:rPr>
              <w:t>Operational</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1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tax rate,</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8"/>
              </w:rPr>
              <w:t>Special</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tax rate,</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vMerge w:val="restart"/>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Special</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tax rate,</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Special</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tax rate,</w:t>
            </w:r>
          </w:p>
        </w:tc>
        <w:tc>
          <w:tcPr>
            <w:tcW w:w="0" w:type="dxa"/>
            <w:vAlign w:val="bottom"/>
          </w:tcPr>
          <w:p>
            <w:pPr>
              <w:spacing w:after="0"/>
              <w:rPr>
                <w:sz w:val="1"/>
                <w:szCs w:val="1"/>
                <w:color w:val="auto"/>
              </w:rPr>
            </w:pPr>
          </w:p>
        </w:tc>
      </w:tr>
      <w:tr>
        <w:trPr>
          <w:trHeight w:val="146"/>
        </w:trPr>
        <w:tc>
          <w:tcPr>
            <w:tcW w:w="1140" w:type="dxa"/>
            <w:vAlign w:val="bottom"/>
          </w:tcPr>
          <w:p>
            <w:pPr>
              <w:spacing w:after="0" w:line="146" w:lineRule="exact"/>
              <w:rPr>
                <w:sz w:val="20"/>
                <w:szCs w:val="20"/>
                <w:color w:val="auto"/>
              </w:rPr>
            </w:pPr>
            <w:r>
              <w:rPr>
                <w:rFonts w:ascii="Times New Roman" w:cs="Times New Roman" w:eastAsia="Times New Roman" w:hAnsi="Times New Roman"/>
                <w:sz w:val="14"/>
                <w:szCs w:val="14"/>
                <w:b w:val="1"/>
                <w:bCs w:val="1"/>
                <w:color w:val="auto"/>
              </w:rPr>
              <w:t>of Operational</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tcPr>
          <w:p>
            <w:pPr>
              <w:jc w:val="center"/>
              <w:ind w:right="320"/>
              <w:spacing w:after="0" w:line="146" w:lineRule="exact"/>
              <w:rPr>
                <w:sz w:val="20"/>
                <w:szCs w:val="20"/>
                <w:color w:val="auto"/>
              </w:rPr>
            </w:pPr>
            <w:r>
              <w:rPr>
                <w:rFonts w:ascii="Times New Roman" w:cs="Times New Roman" w:eastAsia="Times New Roman" w:hAnsi="Times New Roman"/>
                <w:sz w:val="14"/>
                <w:szCs w:val="14"/>
                <w:b w:val="1"/>
                <w:bCs w:val="1"/>
                <w:color w:val="auto"/>
                <w:w w:val="96"/>
              </w:rPr>
              <w:t>as</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60" w:type="dxa"/>
            <w:vAlign w:val="bottom"/>
            <w:gridSpan w:val="2"/>
          </w:tcPr>
          <w:p>
            <w:pPr>
              <w:jc w:val="center"/>
              <w:ind w:right="300"/>
              <w:spacing w:after="0" w:line="146" w:lineRule="exact"/>
              <w:rPr>
                <w:sz w:val="20"/>
                <w:szCs w:val="20"/>
                <w:color w:val="auto"/>
              </w:rPr>
            </w:pPr>
            <w:r>
              <w:rPr>
                <w:rFonts w:ascii="Times New Roman" w:cs="Times New Roman" w:eastAsia="Times New Roman" w:hAnsi="Times New Roman"/>
                <w:sz w:val="14"/>
                <w:szCs w:val="14"/>
                <w:b w:val="1"/>
                <w:bCs w:val="1"/>
                <w:color w:val="auto"/>
              </w:rPr>
              <w:t>tax rate, as</w:t>
            </w:r>
          </w:p>
        </w:tc>
        <w:tc>
          <w:tcPr>
            <w:tcW w:w="100" w:type="dxa"/>
            <w:vAlign w:val="bottom"/>
          </w:tcPr>
          <w:p>
            <w:pPr>
              <w:spacing w:after="0"/>
              <w:rPr>
                <w:sz w:val="12"/>
                <w:szCs w:val="12"/>
                <w:color w:val="auto"/>
              </w:rPr>
            </w:pPr>
          </w:p>
        </w:tc>
        <w:tc>
          <w:tcPr>
            <w:tcW w:w="960" w:type="dxa"/>
            <w:vAlign w:val="bottom"/>
            <w:gridSpan w:val="2"/>
          </w:tcPr>
          <w:p>
            <w:pPr>
              <w:jc w:val="center"/>
              <w:ind w:right="320"/>
              <w:spacing w:after="0" w:line="146" w:lineRule="exact"/>
              <w:rPr>
                <w:sz w:val="20"/>
                <w:szCs w:val="20"/>
                <w:color w:val="auto"/>
              </w:rPr>
            </w:pPr>
            <w:r>
              <w:rPr>
                <w:rFonts w:ascii="Times New Roman" w:cs="Times New Roman" w:eastAsia="Times New Roman" w:hAnsi="Times New Roman"/>
                <w:sz w:val="14"/>
                <w:szCs w:val="14"/>
                <w:b w:val="1"/>
                <w:bCs w:val="1"/>
                <w:color w:val="auto"/>
                <w:w w:val="96"/>
              </w:rPr>
              <w:t>as</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center"/>
              <w:ind w:right="320"/>
              <w:spacing w:after="0" w:line="146" w:lineRule="exact"/>
              <w:rPr>
                <w:sz w:val="20"/>
                <w:szCs w:val="20"/>
                <w:color w:val="auto"/>
              </w:rPr>
            </w:pPr>
            <w:r>
              <w:rPr>
                <w:rFonts w:ascii="Times New Roman" w:cs="Times New Roman" w:eastAsia="Times New Roman" w:hAnsi="Times New Roman"/>
                <w:sz w:val="14"/>
                <w:szCs w:val="14"/>
                <w:b w:val="1"/>
                <w:bCs w:val="1"/>
                <w:color w:val="auto"/>
              </w:rPr>
              <w:t>tax rate, as</w:t>
            </w:r>
          </w:p>
        </w:tc>
        <w:tc>
          <w:tcPr>
            <w:tcW w:w="120" w:type="dxa"/>
            <w:vAlign w:val="bottom"/>
          </w:tcPr>
          <w:p>
            <w:pPr>
              <w:spacing w:after="0"/>
              <w:rPr>
                <w:sz w:val="12"/>
                <w:szCs w:val="12"/>
                <w:color w:val="auto"/>
              </w:rPr>
            </w:pPr>
          </w:p>
        </w:tc>
        <w:tc>
          <w:tcPr>
            <w:tcW w:w="940" w:type="dxa"/>
            <w:vAlign w:val="bottom"/>
            <w:gridSpan w:val="2"/>
          </w:tcPr>
          <w:p>
            <w:pPr>
              <w:jc w:val="center"/>
              <w:ind w:right="320"/>
              <w:spacing w:after="0" w:line="146" w:lineRule="exact"/>
              <w:rPr>
                <w:sz w:val="20"/>
                <w:szCs w:val="20"/>
                <w:color w:val="auto"/>
              </w:rPr>
            </w:pPr>
            <w:r>
              <w:rPr>
                <w:rFonts w:ascii="Times New Roman" w:cs="Times New Roman" w:eastAsia="Times New Roman" w:hAnsi="Times New Roman"/>
                <w:sz w:val="14"/>
                <w:szCs w:val="14"/>
                <w:b w:val="1"/>
                <w:bCs w:val="1"/>
                <w:color w:val="auto"/>
              </w:rPr>
              <w:t>as</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tcPr>
          <w:p>
            <w:pPr>
              <w:jc w:val="center"/>
              <w:ind w:right="220"/>
              <w:spacing w:after="0" w:line="146" w:lineRule="exact"/>
              <w:rPr>
                <w:sz w:val="20"/>
                <w:szCs w:val="20"/>
                <w:color w:val="auto"/>
              </w:rPr>
            </w:pPr>
            <w:r>
              <w:rPr>
                <w:rFonts w:ascii="Times New Roman" w:cs="Times New Roman" w:eastAsia="Times New Roman" w:hAnsi="Times New Roman"/>
                <w:sz w:val="14"/>
                <w:szCs w:val="14"/>
                <w:b w:val="1"/>
                <w:bCs w:val="1"/>
                <w:color w:val="auto"/>
                <w:w w:val="96"/>
              </w:rPr>
              <w:t>as</w:t>
            </w:r>
          </w:p>
        </w:tc>
        <w:tc>
          <w:tcPr>
            <w:tcW w:w="0" w:type="dxa"/>
            <w:vAlign w:val="bottom"/>
          </w:tcPr>
          <w:p>
            <w:pPr>
              <w:spacing w:after="0"/>
              <w:rPr>
                <w:sz w:val="1"/>
                <w:szCs w:val="1"/>
                <w:color w:val="auto"/>
              </w:rPr>
            </w:pPr>
          </w:p>
        </w:tc>
      </w:tr>
      <w:tr>
        <w:trPr>
          <w:trHeight w:val="175"/>
        </w:trPr>
        <w:tc>
          <w:tcPr>
            <w:tcW w:w="1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tax rate</w:t>
            </w: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center"/>
              <w:ind w:right="69"/>
              <w:spacing w:after="0"/>
              <w:rPr>
                <w:sz w:val="20"/>
                <w:szCs w:val="20"/>
                <w:color w:val="auto"/>
              </w:rPr>
            </w:pPr>
            <w:r>
              <w:rPr>
                <w:rFonts w:ascii="Times New Roman" w:cs="Times New Roman" w:eastAsia="Times New Roman" w:hAnsi="Times New Roman"/>
                <w:sz w:val="14"/>
                <w:szCs w:val="14"/>
                <w:b w:val="1"/>
                <w:bCs w:val="1"/>
                <w:color w:val="auto"/>
                <w:w w:val="99"/>
              </w:rPr>
              <w:t>reported</w:t>
            </w:r>
          </w:p>
        </w:tc>
        <w:tc>
          <w:tcPr>
            <w:tcW w:w="180" w:type="dxa"/>
            <w:vAlign w:val="bottom"/>
            <w:tcBorders>
              <w:bottom w:val="single" w:sz="8" w:color="CCEEFF"/>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center"/>
              <w:ind w:right="49"/>
              <w:spacing w:after="0" w:line="176" w:lineRule="exact"/>
              <w:rPr>
                <w:sz w:val="20"/>
                <w:szCs w:val="20"/>
                <w:color w:val="auto"/>
              </w:rPr>
            </w:pPr>
            <w:r>
              <w:rPr>
                <w:rFonts w:ascii="Times New Roman" w:cs="Times New Roman" w:eastAsia="Times New Roman" w:hAnsi="Times New Roman"/>
                <w:sz w:val="20"/>
                <w:szCs w:val="20"/>
                <w:b w:val="1"/>
                <w:bCs w:val="1"/>
                <w:color w:val="auto"/>
                <w:vertAlign w:val="subscript"/>
              </w:rPr>
              <w:t>items</w:t>
            </w:r>
            <w:r>
              <w:rPr>
                <w:rFonts w:ascii="Times New Roman" w:cs="Times New Roman" w:eastAsia="Times New Roman" w:hAnsi="Times New Roman"/>
                <w:sz w:val="10"/>
                <w:szCs w:val="10"/>
                <w:b w:val="1"/>
                <w:bCs w:val="1"/>
                <w:color w:val="auto"/>
              </w:rPr>
              <w:t>(1)(3)</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adjusted</w:t>
            </w:r>
          </w:p>
        </w:tc>
        <w:tc>
          <w:tcPr>
            <w:tcW w:w="24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center"/>
              <w:ind w:right="29"/>
              <w:spacing w:after="0"/>
              <w:rPr>
                <w:sz w:val="20"/>
                <w:szCs w:val="20"/>
                <w:color w:val="auto"/>
              </w:rPr>
            </w:pPr>
            <w:r>
              <w:rPr>
                <w:rFonts w:ascii="Times New Roman" w:cs="Times New Roman" w:eastAsia="Times New Roman" w:hAnsi="Times New Roman"/>
                <w:sz w:val="14"/>
                <w:szCs w:val="14"/>
                <w:b w:val="1"/>
                <w:bCs w:val="1"/>
                <w:color w:val="auto"/>
                <w:w w:val="99"/>
              </w:rPr>
              <w:t>reported</w:t>
            </w:r>
          </w:p>
        </w:tc>
        <w:tc>
          <w:tcPr>
            <w:tcW w:w="180" w:type="dxa"/>
            <w:vAlign w:val="bottom"/>
            <w:tcBorders>
              <w:bottom w:val="single" w:sz="8" w:color="CCEEFF"/>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74"/>
              <w:spacing w:after="0" w:line="176" w:lineRule="exact"/>
              <w:rPr>
                <w:sz w:val="20"/>
                <w:szCs w:val="20"/>
                <w:color w:val="auto"/>
              </w:rPr>
            </w:pPr>
            <w:r>
              <w:rPr>
                <w:rFonts w:ascii="Times New Roman" w:cs="Times New Roman" w:eastAsia="Times New Roman" w:hAnsi="Times New Roman"/>
                <w:sz w:val="20"/>
                <w:szCs w:val="20"/>
                <w:b w:val="1"/>
                <w:bCs w:val="1"/>
                <w:color w:val="auto"/>
                <w:vertAlign w:val="subscript"/>
              </w:rPr>
              <w:t>items</w:t>
            </w:r>
            <w:r>
              <w:rPr>
                <w:rFonts w:ascii="Times New Roman" w:cs="Times New Roman" w:eastAsia="Times New Roman" w:hAnsi="Times New Roman"/>
                <w:sz w:val="10"/>
                <w:szCs w:val="10"/>
                <w:b w:val="1"/>
                <w:bCs w:val="1"/>
                <w:color w:val="auto"/>
              </w:rPr>
              <w:t>(2)(3)</w:t>
            </w: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adjusted</w:t>
            </w:r>
          </w:p>
        </w:tc>
        <w:tc>
          <w:tcPr>
            <w:tcW w:w="2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b w:val="1"/>
                <w:bCs w:val="1"/>
                <w:color w:val="auto"/>
              </w:rPr>
              <w:t>reported</w:t>
            </w:r>
          </w:p>
        </w:tc>
        <w:tc>
          <w:tcPr>
            <w:tcW w:w="160" w:type="dxa"/>
            <w:vAlign w:val="bottom"/>
            <w:tcBorders>
              <w:bottom w:val="single" w:sz="8" w:color="CCEEFF"/>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center"/>
              <w:ind w:right="54"/>
              <w:spacing w:after="0" w:line="176" w:lineRule="exact"/>
              <w:rPr>
                <w:sz w:val="20"/>
                <w:szCs w:val="20"/>
                <w:color w:val="auto"/>
              </w:rPr>
            </w:pPr>
            <w:r>
              <w:rPr>
                <w:rFonts w:ascii="Times New Roman" w:cs="Times New Roman" w:eastAsia="Times New Roman" w:hAnsi="Times New Roman"/>
                <w:sz w:val="20"/>
                <w:szCs w:val="20"/>
                <w:b w:val="1"/>
                <w:bCs w:val="1"/>
                <w:color w:val="auto"/>
                <w:vertAlign w:val="subscript"/>
              </w:rPr>
              <w:t>items</w:t>
            </w:r>
            <w:r>
              <w:rPr>
                <w:rFonts w:ascii="Times New Roman" w:cs="Times New Roman" w:eastAsia="Times New Roman" w:hAnsi="Times New Roman"/>
                <w:sz w:val="10"/>
                <w:szCs w:val="10"/>
                <w:b w:val="1"/>
                <w:bCs w:val="1"/>
                <w:color w:val="auto"/>
              </w:rPr>
              <w:t>(2)(3)</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center"/>
              <w:ind w:right="9"/>
              <w:spacing w:after="0"/>
              <w:rPr>
                <w:sz w:val="20"/>
                <w:szCs w:val="20"/>
                <w:color w:val="auto"/>
              </w:rPr>
            </w:pPr>
            <w:r>
              <w:rPr>
                <w:rFonts w:ascii="Times New Roman" w:cs="Times New Roman" w:eastAsia="Times New Roman" w:hAnsi="Times New Roman"/>
                <w:sz w:val="14"/>
                <w:szCs w:val="14"/>
                <w:b w:val="1"/>
                <w:bCs w:val="1"/>
                <w:color w:val="auto"/>
              </w:rPr>
              <w:t>adjusted</w:t>
            </w:r>
          </w:p>
        </w:tc>
        <w:tc>
          <w:tcPr>
            <w:tcW w:w="12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19"/>
        </w:trPr>
        <w:tc>
          <w:tcPr>
            <w:tcW w:w="1140" w:type="dxa"/>
            <w:vAlign w:val="bottom"/>
            <w:shd w:val="clear" w:color="auto" w:fill="CCEEFF"/>
          </w:tcPr>
          <w:p>
            <w:pPr>
              <w:spacing w:after="0" w:line="119" w:lineRule="exact"/>
              <w:rPr>
                <w:sz w:val="20"/>
                <w:szCs w:val="20"/>
                <w:color w:val="auto"/>
              </w:rPr>
            </w:pPr>
            <w:r>
              <w:rPr>
                <w:rFonts w:ascii="Times New Roman" w:cs="Times New Roman" w:eastAsia="Times New Roman" w:hAnsi="Times New Roman"/>
                <w:sz w:val="13"/>
                <w:szCs w:val="13"/>
                <w:color w:val="auto"/>
              </w:rPr>
              <w:t>Income before</w:t>
            </w:r>
          </w:p>
        </w:tc>
        <w:tc>
          <w:tcPr>
            <w:tcW w:w="26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430</w:t>
            </w:r>
          </w:p>
        </w:tc>
        <w:tc>
          <w:tcPr>
            <w:tcW w:w="18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106</w:t>
            </w:r>
          </w:p>
        </w:tc>
        <w:tc>
          <w:tcPr>
            <w:tcW w:w="1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536</w:t>
            </w: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1,383</w:t>
            </w:r>
          </w:p>
        </w:tc>
        <w:tc>
          <w:tcPr>
            <w:tcW w:w="1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10</w:t>
            </w:r>
          </w:p>
        </w:tc>
        <w:tc>
          <w:tcPr>
            <w:tcW w:w="1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1,393</w:t>
            </w: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1,840</w:t>
            </w:r>
          </w:p>
        </w:tc>
        <w:tc>
          <w:tcPr>
            <w:tcW w:w="1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102</w:t>
            </w:r>
          </w:p>
        </w:tc>
        <w:tc>
          <w:tcPr>
            <w:tcW w:w="1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1,942</w:t>
            </w:r>
          </w:p>
        </w:tc>
        <w:tc>
          <w:tcPr>
            <w:tcW w:w="0" w:type="dxa"/>
            <w:vAlign w:val="bottom"/>
          </w:tcPr>
          <w:p>
            <w:pPr>
              <w:spacing w:after="0"/>
              <w:rPr>
                <w:sz w:val="1"/>
                <w:szCs w:val="1"/>
                <w:color w:val="auto"/>
              </w:rPr>
            </w:pPr>
          </w:p>
        </w:tc>
      </w:tr>
      <w:tr>
        <w:trPr>
          <w:trHeight w:val="171"/>
        </w:trPr>
        <w:tc>
          <w:tcPr>
            <w:tcW w:w="11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income taxes</w:t>
            </w:r>
          </w:p>
        </w:tc>
        <w:tc>
          <w:tcPr>
            <w:tcW w:w="260" w:type="dxa"/>
            <w:vAlign w:val="bottom"/>
            <w:gridSpan w:val="2"/>
            <w:vMerge w:val="continue"/>
            <w:shd w:val="clear" w:color="auto" w:fill="CCEEFF"/>
          </w:tcPr>
          <w:p>
            <w:pPr>
              <w:spacing w:after="0"/>
              <w:rPr>
                <w:sz w:val="14"/>
                <w:szCs w:val="14"/>
                <w:color w:val="auto"/>
              </w:rPr>
            </w:pPr>
          </w:p>
        </w:tc>
        <w:tc>
          <w:tcPr>
            <w:tcW w:w="960" w:type="dxa"/>
            <w:vAlign w:val="bottom"/>
            <w:gridSpan w:val="2"/>
            <w:vMerge w:val="continue"/>
            <w:shd w:val="clear" w:color="auto" w:fill="CCEEFF"/>
          </w:tcPr>
          <w:p>
            <w:pPr>
              <w:spacing w:after="0"/>
              <w:rPr>
                <w:sz w:val="14"/>
                <w:szCs w:val="14"/>
                <w:color w:val="auto"/>
              </w:rPr>
            </w:pPr>
          </w:p>
        </w:tc>
        <w:tc>
          <w:tcPr>
            <w:tcW w:w="180" w:type="dxa"/>
            <w:vAlign w:val="bottom"/>
            <w:gridSpan w:val="2"/>
            <w:vMerge w:val="continue"/>
            <w:shd w:val="clear" w:color="auto" w:fill="CCEEFF"/>
          </w:tcPr>
          <w:p>
            <w:pPr>
              <w:spacing w:after="0"/>
              <w:rPr>
                <w:sz w:val="14"/>
                <w:szCs w:val="14"/>
                <w:color w:val="auto"/>
              </w:rPr>
            </w:pPr>
          </w:p>
        </w:tc>
        <w:tc>
          <w:tcPr>
            <w:tcW w:w="880" w:type="dxa"/>
            <w:vAlign w:val="bottom"/>
            <w:gridSpan w:val="2"/>
            <w:vMerge w:val="continue"/>
            <w:shd w:val="clear" w:color="auto" w:fill="CCEEFF"/>
          </w:tcPr>
          <w:p>
            <w:pPr>
              <w:spacing w:after="0"/>
              <w:rPr>
                <w:sz w:val="14"/>
                <w:szCs w:val="14"/>
                <w:color w:val="auto"/>
              </w:rPr>
            </w:pPr>
          </w:p>
        </w:tc>
        <w:tc>
          <w:tcPr>
            <w:tcW w:w="180" w:type="dxa"/>
            <w:vAlign w:val="bottom"/>
            <w:gridSpan w:val="2"/>
            <w:vMerge w:val="continue"/>
            <w:shd w:val="clear" w:color="auto" w:fill="CCEEFF"/>
          </w:tcPr>
          <w:p>
            <w:pPr>
              <w:spacing w:after="0"/>
              <w:rPr>
                <w:sz w:val="14"/>
                <w:szCs w:val="14"/>
                <w:color w:val="auto"/>
              </w:rPr>
            </w:pPr>
          </w:p>
        </w:tc>
        <w:tc>
          <w:tcPr>
            <w:tcW w:w="1060" w:type="dxa"/>
            <w:vAlign w:val="bottom"/>
            <w:gridSpan w:val="2"/>
            <w:vMerge w:val="continue"/>
            <w:shd w:val="clear" w:color="auto" w:fill="CCEEFF"/>
          </w:tcPr>
          <w:p>
            <w:pPr>
              <w:spacing w:after="0"/>
              <w:rPr>
                <w:sz w:val="14"/>
                <w:szCs w:val="14"/>
                <w:color w:val="auto"/>
              </w:rPr>
            </w:pPr>
          </w:p>
        </w:tc>
        <w:tc>
          <w:tcPr>
            <w:tcW w:w="100" w:type="dxa"/>
            <w:vAlign w:val="bottom"/>
            <w:vMerge w:val="continue"/>
            <w:shd w:val="clear" w:color="auto" w:fill="CCEEFF"/>
          </w:tcPr>
          <w:p>
            <w:pPr>
              <w:spacing w:after="0"/>
              <w:rPr>
                <w:sz w:val="14"/>
                <w:szCs w:val="14"/>
                <w:color w:val="auto"/>
              </w:rPr>
            </w:pPr>
          </w:p>
        </w:tc>
        <w:tc>
          <w:tcPr>
            <w:tcW w:w="960" w:type="dxa"/>
            <w:vAlign w:val="bottom"/>
            <w:gridSpan w:val="2"/>
            <w:vMerge w:val="continue"/>
            <w:shd w:val="clear" w:color="auto" w:fill="CCEEFF"/>
          </w:tcPr>
          <w:p>
            <w:pPr>
              <w:spacing w:after="0"/>
              <w:rPr>
                <w:sz w:val="14"/>
                <w:szCs w:val="14"/>
                <w:color w:val="auto"/>
              </w:rPr>
            </w:pPr>
          </w:p>
        </w:tc>
        <w:tc>
          <w:tcPr>
            <w:tcW w:w="160" w:type="dxa"/>
            <w:vAlign w:val="bottom"/>
            <w:gridSpan w:val="2"/>
            <w:vMerge w:val="continue"/>
            <w:shd w:val="clear" w:color="auto" w:fill="CCEEFF"/>
          </w:tcPr>
          <w:p>
            <w:pPr>
              <w:spacing w:after="0"/>
              <w:rPr>
                <w:sz w:val="14"/>
                <w:szCs w:val="14"/>
                <w:color w:val="auto"/>
              </w:rPr>
            </w:pPr>
          </w:p>
        </w:tc>
        <w:tc>
          <w:tcPr>
            <w:tcW w:w="900" w:type="dxa"/>
            <w:vAlign w:val="bottom"/>
            <w:gridSpan w:val="2"/>
            <w:vMerge w:val="continue"/>
            <w:shd w:val="clear" w:color="auto" w:fill="CCEEFF"/>
          </w:tcPr>
          <w:p>
            <w:pPr>
              <w:spacing w:after="0"/>
              <w:rPr>
                <w:sz w:val="14"/>
                <w:szCs w:val="14"/>
                <w:color w:val="auto"/>
              </w:rPr>
            </w:pPr>
          </w:p>
        </w:tc>
        <w:tc>
          <w:tcPr>
            <w:tcW w:w="180" w:type="dxa"/>
            <w:vAlign w:val="bottom"/>
            <w:gridSpan w:val="2"/>
            <w:vMerge w:val="continue"/>
            <w:shd w:val="clear" w:color="auto" w:fill="CCEEFF"/>
          </w:tcPr>
          <w:p>
            <w:pPr>
              <w:spacing w:after="0"/>
              <w:rPr>
                <w:sz w:val="14"/>
                <w:szCs w:val="14"/>
                <w:color w:val="auto"/>
              </w:rPr>
            </w:pPr>
          </w:p>
        </w:tc>
        <w:tc>
          <w:tcPr>
            <w:tcW w:w="1040" w:type="dxa"/>
            <w:vAlign w:val="bottom"/>
            <w:gridSpan w:val="2"/>
            <w:vMerge w:val="continue"/>
            <w:shd w:val="clear" w:color="auto" w:fill="CCEEFF"/>
          </w:tcPr>
          <w:p>
            <w:pPr>
              <w:spacing w:after="0"/>
              <w:rPr>
                <w:sz w:val="14"/>
                <w:szCs w:val="14"/>
                <w:color w:val="auto"/>
              </w:rPr>
            </w:pPr>
          </w:p>
        </w:tc>
        <w:tc>
          <w:tcPr>
            <w:tcW w:w="120" w:type="dxa"/>
            <w:vAlign w:val="bottom"/>
            <w:vMerge w:val="continue"/>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160" w:type="dxa"/>
            <w:vAlign w:val="bottom"/>
            <w:gridSpan w:val="2"/>
            <w:vMerge w:val="continue"/>
            <w:shd w:val="clear" w:color="auto" w:fill="CCEEFF"/>
          </w:tcPr>
          <w:p>
            <w:pPr>
              <w:spacing w:after="0"/>
              <w:rPr>
                <w:sz w:val="14"/>
                <w:szCs w:val="14"/>
                <w:color w:val="auto"/>
              </w:rPr>
            </w:pPr>
          </w:p>
        </w:tc>
        <w:tc>
          <w:tcPr>
            <w:tcW w:w="900" w:type="dxa"/>
            <w:vAlign w:val="bottom"/>
            <w:gridSpan w:val="2"/>
            <w:vMerge w:val="continue"/>
            <w:shd w:val="clear" w:color="auto" w:fill="CCEEFF"/>
          </w:tcPr>
          <w:p>
            <w:pPr>
              <w:spacing w:after="0"/>
              <w:rPr>
                <w:sz w:val="14"/>
                <w:szCs w:val="14"/>
                <w:color w:val="auto"/>
              </w:rPr>
            </w:pPr>
          </w:p>
        </w:tc>
        <w:tc>
          <w:tcPr>
            <w:tcW w:w="180" w:type="dxa"/>
            <w:vAlign w:val="bottom"/>
            <w:gridSpan w:val="2"/>
            <w:vMerge w:val="continue"/>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114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Provision for</w:t>
            </w:r>
          </w:p>
        </w:tc>
        <w:tc>
          <w:tcPr>
            <w:tcW w:w="26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58</w:t>
            </w:r>
          </w:p>
        </w:tc>
        <w:tc>
          <w:tcPr>
            <w:tcW w:w="18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52</w:t>
            </w:r>
          </w:p>
        </w:tc>
        <w:tc>
          <w:tcPr>
            <w:tcW w:w="1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110</w:t>
            </w: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228</w:t>
            </w:r>
          </w:p>
        </w:tc>
        <w:tc>
          <w:tcPr>
            <w:tcW w:w="1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58</w:t>
            </w:r>
          </w:p>
        </w:tc>
        <w:tc>
          <w:tcPr>
            <w:tcW w:w="1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286</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332</w:t>
            </w:r>
          </w:p>
        </w:tc>
        <w:tc>
          <w:tcPr>
            <w:tcW w:w="1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77</w:t>
            </w:r>
          </w:p>
        </w:tc>
        <w:tc>
          <w:tcPr>
            <w:tcW w:w="1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409</w:t>
            </w:r>
          </w:p>
        </w:tc>
        <w:tc>
          <w:tcPr>
            <w:tcW w:w="0" w:type="dxa"/>
            <w:vAlign w:val="bottom"/>
          </w:tcPr>
          <w:p>
            <w:pPr>
              <w:spacing w:after="0"/>
              <w:rPr>
                <w:sz w:val="1"/>
                <w:szCs w:val="1"/>
                <w:color w:val="auto"/>
              </w:rPr>
            </w:pPr>
          </w:p>
        </w:tc>
      </w:tr>
      <w:tr>
        <w:trPr>
          <w:trHeight w:val="171"/>
        </w:trPr>
        <w:tc>
          <w:tcPr>
            <w:tcW w:w="1140" w:type="dxa"/>
            <w:vAlign w:val="bottom"/>
          </w:tcPr>
          <w:p>
            <w:pPr>
              <w:spacing w:after="0"/>
              <w:rPr>
                <w:sz w:val="20"/>
                <w:szCs w:val="20"/>
                <w:color w:val="auto"/>
              </w:rPr>
            </w:pPr>
            <w:r>
              <w:rPr>
                <w:rFonts w:ascii="Times New Roman" w:cs="Times New Roman" w:eastAsia="Times New Roman" w:hAnsi="Times New Roman"/>
                <w:sz w:val="14"/>
                <w:szCs w:val="14"/>
                <w:color w:val="auto"/>
              </w:rPr>
              <w:t>income taxes</w:t>
            </w:r>
          </w:p>
        </w:tc>
        <w:tc>
          <w:tcPr>
            <w:tcW w:w="260" w:type="dxa"/>
            <w:vAlign w:val="bottom"/>
            <w:gridSpan w:val="2"/>
            <w:vMerge w:val="continue"/>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180" w:type="dxa"/>
            <w:vAlign w:val="bottom"/>
            <w:gridSpan w:val="2"/>
            <w:vMerge w:val="continue"/>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180" w:type="dxa"/>
            <w:vAlign w:val="bottom"/>
            <w:gridSpan w:val="2"/>
            <w:vMerge w:val="continue"/>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160" w:type="dxa"/>
            <w:vAlign w:val="bottom"/>
            <w:gridSpan w:val="2"/>
            <w:vMerge w:val="continue"/>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180" w:type="dxa"/>
            <w:vAlign w:val="bottom"/>
            <w:gridSpan w:val="2"/>
            <w:vMerge w:val="continue"/>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160" w:type="dxa"/>
            <w:vAlign w:val="bottom"/>
            <w:gridSpan w:val="2"/>
            <w:vMerge w:val="continue"/>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180" w:type="dxa"/>
            <w:vAlign w:val="bottom"/>
            <w:gridSpan w:val="2"/>
            <w:vMerge w:val="continue"/>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140" w:type="dxa"/>
            <w:vAlign w:val="bottom"/>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Tax rate</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13.5%</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20.5%</w:t>
            </w:r>
          </w:p>
        </w:tc>
        <w:tc>
          <w:tcPr>
            <w:tcW w:w="10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16.5%</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20.5%</w:t>
            </w:r>
          </w:p>
        </w:tc>
        <w:tc>
          <w:tcPr>
            <w:tcW w:w="12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18.0%</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21.1%</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Operational tax rate is a non-GAAP financial measure. Management believes that this measure is meaningful to investors because management reviews the operating results of the Company excluding the impacts of Special items. There can be no assurances that additional Special items will not occur in future periods. To compensate for this limitation, management believes that it is appropriate to consider both the Effective tax rate determined under GAAP as well as the Operational tax rate.</w:t>
      </w:r>
    </w:p>
    <w:p>
      <w:pPr>
        <w:spacing w:after="0" w:line="180" w:lineRule="exact"/>
        <w:rPr>
          <w:sz w:val="20"/>
          <w:szCs w:val="20"/>
          <w:color w:val="auto"/>
        </w:rPr>
      </w:pPr>
    </w:p>
    <w:p>
      <w:pPr>
        <w:ind w:left="340" w:right="60" w:hanging="332"/>
        <w:spacing w:after="0" w:line="195" w:lineRule="auto"/>
        <w:tabs>
          <w:tab w:leader="none" w:pos="340" w:val="left"/>
        </w:tabs>
        <w:numPr>
          <w:ilvl w:val="0"/>
          <w:numId w:val="15"/>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Pre-tax special items for 4Q25 included Restructuring and other charges $88, Loss on debt redemption $15, Acquisition costs $2, and Costs associated with closures, supply chain disruptions, and other items $1.</w:t>
      </w:r>
    </w:p>
    <w:p>
      <w:pPr>
        <w:spacing w:after="0" w:line="199" w:lineRule="exact"/>
        <w:rPr>
          <w:rFonts w:ascii="Times New Roman" w:cs="Times New Roman" w:eastAsia="Times New Roman" w:hAnsi="Times New Roman"/>
          <w:sz w:val="30"/>
          <w:szCs w:val="30"/>
          <w:color w:val="auto"/>
          <w:vertAlign w:val="superscript"/>
        </w:rPr>
      </w:pPr>
    </w:p>
    <w:p>
      <w:pPr>
        <w:ind w:left="340" w:right="80" w:hanging="332"/>
        <w:spacing w:after="0" w:line="219" w:lineRule="auto"/>
        <w:tabs>
          <w:tab w:leader="none" w:pos="340" w:val="left"/>
        </w:tabs>
        <w:numPr>
          <w:ilvl w:val="0"/>
          <w:numId w:val="15"/>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Pre-tax special items for YTD 2024 included Restructuring and other charges $21, Loss on debt redemption $6, Costs associated with closures, supply chain disruptions, and other items $1, partially offset by Plant fire reimbursements, net ($18). Pre-tax special items for YTD 2025 included Restructuring and other charges $84, Loss on debt redemption $15, Acquisition costs $2, and Costs associated with closures, supply chain disruptions, and other items $1.</w:t>
      </w:r>
    </w:p>
    <w:p>
      <w:pPr>
        <w:spacing w:after="0" w:line="198" w:lineRule="exact"/>
        <w:rPr>
          <w:rFonts w:ascii="Times New Roman" w:cs="Times New Roman" w:eastAsia="Times New Roman" w:hAnsi="Times New Roman"/>
          <w:sz w:val="30"/>
          <w:szCs w:val="30"/>
          <w:color w:val="auto"/>
          <w:vertAlign w:val="superscript"/>
        </w:rPr>
      </w:pPr>
    </w:p>
    <w:p>
      <w:pPr>
        <w:ind w:left="340" w:right="60" w:hanging="332"/>
        <w:spacing w:after="0" w:line="210" w:lineRule="auto"/>
        <w:tabs>
          <w:tab w:leader="none" w:pos="340" w:val="left"/>
        </w:tabs>
        <w:numPr>
          <w:ilvl w:val="0"/>
          <w:numId w:val="15"/>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Tax Special items includes discrete tax items, the tax impact on Special items based on the applicable statutory rates, the difference between such rates and the Company’s consolidated estimated annual effective tax rate and other tax related items. Discrete tax items for each period included the following:</w:t>
      </w:r>
    </w:p>
    <w:p>
      <w:pPr>
        <w:spacing w:after="0" w:line="199" w:lineRule="exact"/>
        <w:rPr>
          <w:rFonts w:ascii="Times New Roman" w:cs="Times New Roman" w:eastAsia="Times New Roman" w:hAnsi="Times New Roman"/>
          <w:sz w:val="30"/>
          <w:szCs w:val="30"/>
          <w:color w:val="auto"/>
          <w:vertAlign w:val="superscript"/>
        </w:rPr>
      </w:pPr>
    </w:p>
    <w:p>
      <w:pPr>
        <w:ind w:left="660" w:right="40" w:hanging="328"/>
        <w:spacing w:after="0" w:line="261" w:lineRule="auto"/>
        <w:tabs>
          <w:tab w:leader="none" w:pos="66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4Q25, a benefit to release a valuation allowance related to U.S. foreign tax credits ($8), a benefit to release a valuation allowance related to U.S. state tax losses and credits ($6), a net benefit for prior year tax adjustments ($4), an excess benefit for stock compensation ($3), a benefit related to re-establishing a tax holiday in China ($4), a net benefit for other small items ($2), and a charge related to the expiration of a tax holiday in China $2;</w:t>
      </w:r>
    </w:p>
    <w:p>
      <w:pPr>
        <w:spacing w:after="0" w:line="179" w:lineRule="exact"/>
        <w:rPr>
          <w:rFonts w:ascii="Times New Roman" w:cs="Times New Roman" w:eastAsia="Times New Roman" w:hAnsi="Times New Roman"/>
          <w:sz w:val="18"/>
          <w:szCs w:val="18"/>
          <w:color w:val="auto"/>
        </w:rPr>
      </w:pPr>
    </w:p>
    <w:p>
      <w:pPr>
        <w:ind w:left="660" w:right="200" w:hanging="328"/>
        <w:spacing w:after="0" w:line="261" w:lineRule="auto"/>
        <w:tabs>
          <w:tab w:leader="none" w:pos="66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YTD 2024, a net benefit related to additional U.S. federal and state research and development ("R&amp;D") credits claimed for prior years upon completion of the Company's R&amp;D study ($44), an excess tax benefit for stock compensation ($10), a benefit to release a valuation allowance related to U.S. state tax losses and credits ($6), a benefit to release a valuation allowance related to U.S. foreign tax credits ($4), a net charge for prior year audit assessments and tax adjustments $4, and a charge for other small items $1; and</w:t>
      </w:r>
    </w:p>
    <w:p>
      <w:pPr>
        <w:spacing w:after="0" w:line="179" w:lineRule="exact"/>
        <w:rPr>
          <w:rFonts w:ascii="Times New Roman" w:cs="Times New Roman" w:eastAsia="Times New Roman" w:hAnsi="Times New Roman"/>
          <w:sz w:val="18"/>
          <w:szCs w:val="18"/>
          <w:color w:val="auto"/>
        </w:rPr>
      </w:pPr>
    </w:p>
    <w:p>
      <w:pPr>
        <w:ind w:left="660" w:right="40" w:hanging="328"/>
        <w:spacing w:after="0" w:line="258" w:lineRule="auto"/>
        <w:tabs>
          <w:tab w:leader="none" w:pos="66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YTD 2025, an excess tax benefit for stock compensation ($18), benefits related to U.S. tax accounting method changes for certain prior period transaction and other costs ($17), a benefit to release a valuation allowance related to U.S. foreign tax credits ($8), a benefit to release a valuation allowance related to U.S. state tax losses and credits ($6), a net benefit related to U.S. federal and state R&amp;D credits claimed for prior years ($5), a net benefit for prior year tax adjustments ($3), a net benefit for other small items ($3), and a net charge related to the expiration of a tax holiday in China $8.</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color w:val="auto"/>
        </w:rPr>
        <w:t>Howmet Aerospace Inc.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Calculation of Financial Measures (unaudited), continued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 U.S. dollars millions)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8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Reconciliation of Adjusted EBITDA and</w:t>
            </w: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gridSpan w:val="3"/>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Quarter ended</w:t>
            </w:r>
          </w:p>
        </w:tc>
        <w:tc>
          <w:tcPr>
            <w:tcW w:w="2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Year ended</w:t>
            </w:r>
          </w:p>
        </w:tc>
        <w:tc>
          <w:tcPr>
            <w:tcW w:w="86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4"/>
        </w:trPr>
        <w:tc>
          <w:tcPr>
            <w:tcW w:w="382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3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Adjusted EBITDA margin excluding</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3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Special items</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b w:val="1"/>
                <w:bCs w:val="1"/>
                <w:color w:val="auto"/>
              </w:rPr>
              <w:t>4Q24</w:t>
            </w:r>
          </w:p>
        </w:tc>
        <w:tc>
          <w:tcPr>
            <w:tcW w:w="260" w:type="dxa"/>
            <w:vAlign w:val="bottom"/>
          </w:tcPr>
          <w:p>
            <w:pPr>
              <w:spacing w:after="0"/>
              <w:rPr>
                <w:sz w:val="20"/>
                <w:szCs w:val="20"/>
                <w:color w:val="auto"/>
              </w:rPr>
            </w:pPr>
          </w:p>
        </w:tc>
        <w:tc>
          <w:tcPr>
            <w:tcW w:w="124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b w:val="1"/>
                <w:bCs w:val="1"/>
                <w:color w:val="auto"/>
              </w:rPr>
              <w:t>3Q25</w:t>
            </w:r>
          </w:p>
        </w:tc>
        <w:tc>
          <w:tcPr>
            <w:tcW w:w="240" w:type="dxa"/>
            <w:vAlign w:val="bottom"/>
          </w:tcPr>
          <w:p>
            <w:pPr>
              <w:spacing w:after="0"/>
              <w:rPr>
                <w:sz w:val="20"/>
                <w:szCs w:val="20"/>
                <w:color w:val="auto"/>
              </w:rPr>
            </w:pPr>
          </w:p>
        </w:tc>
        <w:tc>
          <w:tcPr>
            <w:tcW w:w="124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b w:val="1"/>
                <w:bCs w:val="1"/>
                <w:color w:val="auto"/>
              </w:rPr>
              <w:t>4Q25</w:t>
            </w:r>
          </w:p>
        </w:tc>
        <w:tc>
          <w:tcPr>
            <w:tcW w:w="240" w:type="dxa"/>
            <w:vAlign w:val="bottom"/>
          </w:tcPr>
          <w:p>
            <w:pPr>
              <w:spacing w:after="0"/>
              <w:rPr>
                <w:sz w:val="20"/>
                <w:szCs w:val="20"/>
                <w:color w:val="auto"/>
              </w:rPr>
            </w:pPr>
          </w:p>
        </w:tc>
        <w:tc>
          <w:tcPr>
            <w:tcW w:w="124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b w:val="1"/>
                <w:bCs w:val="1"/>
                <w:color w:val="auto"/>
              </w:rPr>
              <w:t>4Q24</w:t>
            </w:r>
          </w:p>
        </w:tc>
        <w:tc>
          <w:tcPr>
            <w:tcW w:w="360" w:type="dxa"/>
            <w:vAlign w:val="bottom"/>
          </w:tcPr>
          <w:p>
            <w:pPr>
              <w:spacing w:after="0"/>
              <w:rPr>
                <w:sz w:val="20"/>
                <w:szCs w:val="20"/>
                <w:color w:val="auto"/>
              </w:rPr>
            </w:pPr>
          </w:p>
        </w:tc>
        <w:tc>
          <w:tcPr>
            <w:tcW w:w="102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4Q25</w:t>
            </w:r>
          </w:p>
        </w:tc>
        <w:tc>
          <w:tcPr>
            <w:tcW w:w="0" w:type="dxa"/>
            <w:vAlign w:val="bottom"/>
          </w:tcPr>
          <w:p>
            <w:pPr>
              <w:spacing w:after="0"/>
              <w:rPr>
                <w:sz w:val="1"/>
                <w:szCs w:val="1"/>
                <w:color w:val="auto"/>
              </w:rPr>
            </w:pPr>
          </w:p>
        </w:tc>
      </w:tr>
      <w:tr>
        <w:trPr>
          <w:trHeight w:val="209"/>
        </w:trPr>
        <w:tc>
          <w:tcPr>
            <w:tcW w:w="38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w:t>
            </w: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1,891</w:t>
            </w:r>
          </w:p>
        </w:tc>
        <w:tc>
          <w:tcPr>
            <w:tcW w:w="2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2,089</w:t>
            </w:r>
          </w:p>
        </w:tc>
        <w:tc>
          <w:tcPr>
            <w:tcW w:w="2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2,168</w:t>
            </w:r>
          </w:p>
        </w:tc>
        <w:tc>
          <w:tcPr>
            <w:tcW w:w="2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7,430</w:t>
            </w:r>
          </w:p>
        </w:tc>
        <w:tc>
          <w:tcPr>
            <w:tcW w:w="26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8,252</w:t>
            </w: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360" w:type="dxa"/>
            <w:vAlign w:val="bottom"/>
            <w:gridSpan w:val="2"/>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445</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542</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489</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1,633</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2,046</w:t>
            </w:r>
          </w:p>
        </w:tc>
        <w:tc>
          <w:tcPr>
            <w:tcW w:w="0" w:type="dxa"/>
            <w:vAlign w:val="bottom"/>
          </w:tcPr>
          <w:p>
            <w:pPr>
              <w:spacing w:after="0"/>
              <w:rPr>
                <w:sz w:val="1"/>
                <w:szCs w:val="1"/>
                <w:color w:val="auto"/>
              </w:rPr>
            </w:pPr>
          </w:p>
        </w:tc>
      </w:tr>
      <w:tr>
        <w:trPr>
          <w:trHeight w:val="216"/>
        </w:trPr>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 margin</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23.5%</w:t>
            </w:r>
          </w:p>
        </w:tc>
        <w:tc>
          <w:tcPr>
            <w:tcW w:w="2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25.9%</w:t>
            </w:r>
          </w:p>
        </w:tc>
        <w:tc>
          <w:tcPr>
            <w:tcW w:w="2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22.6%</w:t>
            </w:r>
          </w:p>
        </w:tc>
        <w:tc>
          <w:tcPr>
            <w:tcW w:w="2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22.0%</w:t>
            </w:r>
          </w:p>
        </w:tc>
        <w:tc>
          <w:tcPr>
            <w:tcW w:w="3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24.8%</w:t>
            </w:r>
          </w:p>
        </w:tc>
        <w:tc>
          <w:tcPr>
            <w:tcW w:w="0" w:type="dxa"/>
            <w:vAlign w:val="bottom"/>
          </w:tcPr>
          <w:p>
            <w:pPr>
              <w:spacing w:after="0"/>
              <w:rPr>
                <w:sz w:val="1"/>
                <w:szCs w:val="1"/>
                <w:color w:val="auto"/>
              </w:rPr>
            </w:pPr>
          </w:p>
        </w:tc>
      </w:tr>
      <w:tr>
        <w:trPr>
          <w:trHeight w:val="216"/>
        </w:trPr>
        <w:tc>
          <w:tcPr>
            <w:tcW w:w="3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360" w:type="dxa"/>
            <w:vAlign w:val="bottom"/>
            <w:gridSpan w:val="2"/>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314</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385</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372</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1,155</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1,508</w:t>
            </w:r>
          </w:p>
        </w:tc>
        <w:tc>
          <w:tcPr>
            <w:tcW w:w="0" w:type="dxa"/>
            <w:vAlign w:val="bottom"/>
          </w:tcPr>
          <w:p>
            <w:pPr>
              <w:spacing w:after="0"/>
              <w:rPr>
                <w:sz w:val="1"/>
                <w:szCs w:val="1"/>
                <w:color w:val="auto"/>
              </w:rPr>
            </w:pPr>
          </w:p>
        </w:tc>
      </w:tr>
      <w:tr>
        <w:trPr>
          <w:trHeight w:val="216"/>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Add:</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60" w:type="dxa"/>
            <w:vAlign w:val="bottom"/>
            <w:gridSpan w:val="2"/>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78</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110</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58</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228</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332</w:t>
            </w:r>
          </w:p>
        </w:tc>
        <w:tc>
          <w:tcPr>
            <w:tcW w:w="0" w:type="dxa"/>
            <w:vAlign w:val="bottom"/>
          </w:tcPr>
          <w:p>
            <w:pPr>
              <w:spacing w:after="0"/>
              <w:rPr>
                <w:sz w:val="1"/>
                <w:szCs w:val="1"/>
                <w:color w:val="auto"/>
              </w:rPr>
            </w:pPr>
          </w:p>
        </w:tc>
      </w:tr>
      <w:tr>
        <w:trPr>
          <w:trHeight w:val="216"/>
        </w:trPr>
        <w:tc>
          <w:tcPr>
            <w:tcW w:w="3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expense, net</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13</w:t>
            </w:r>
          </w:p>
        </w:tc>
        <w:tc>
          <w:tcPr>
            <w:tcW w:w="260" w:type="dxa"/>
            <w:vAlign w:val="bottom"/>
          </w:tcPr>
          <w:p>
            <w:pPr>
              <w:spacing w:after="0"/>
              <w:rPr>
                <w:sz w:val="18"/>
                <w:szCs w:val="18"/>
                <w:color w:val="auto"/>
              </w:rPr>
            </w:pPr>
          </w:p>
        </w:tc>
        <w:tc>
          <w:tcPr>
            <w:tcW w:w="12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10</w:t>
            </w:r>
          </w:p>
        </w:tc>
        <w:tc>
          <w:tcPr>
            <w:tcW w:w="240" w:type="dxa"/>
            <w:vAlign w:val="bottom"/>
          </w:tcPr>
          <w:p>
            <w:pPr>
              <w:spacing w:after="0"/>
              <w:rPr>
                <w:sz w:val="18"/>
                <w:szCs w:val="18"/>
                <w:color w:val="auto"/>
              </w:rPr>
            </w:pPr>
          </w:p>
        </w:tc>
        <w:tc>
          <w:tcPr>
            <w:tcW w:w="12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7</w:t>
            </w:r>
          </w:p>
        </w:tc>
        <w:tc>
          <w:tcPr>
            <w:tcW w:w="24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62</w:t>
            </w:r>
          </w:p>
        </w:tc>
        <w:tc>
          <w:tcPr>
            <w:tcW w:w="36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16"/>
        </w:trPr>
        <w:tc>
          <w:tcPr>
            <w:tcW w:w="3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Loss on debt redemption</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15</w:t>
            </w:r>
          </w:p>
        </w:tc>
        <w:tc>
          <w:tcPr>
            <w:tcW w:w="2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6</w:t>
            </w:r>
          </w:p>
        </w:tc>
        <w:tc>
          <w:tcPr>
            <w:tcW w:w="3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16"/>
        </w:trPr>
        <w:tc>
          <w:tcPr>
            <w:tcW w:w="3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expense, net</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40</w:t>
            </w:r>
          </w:p>
        </w:tc>
        <w:tc>
          <w:tcPr>
            <w:tcW w:w="260" w:type="dxa"/>
            <w:vAlign w:val="bottom"/>
          </w:tcPr>
          <w:p>
            <w:pPr>
              <w:spacing w:after="0"/>
              <w:rPr>
                <w:sz w:val="18"/>
                <w:szCs w:val="18"/>
                <w:color w:val="auto"/>
              </w:rPr>
            </w:pPr>
          </w:p>
        </w:tc>
        <w:tc>
          <w:tcPr>
            <w:tcW w:w="12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37</w:t>
            </w:r>
          </w:p>
        </w:tc>
        <w:tc>
          <w:tcPr>
            <w:tcW w:w="240" w:type="dxa"/>
            <w:vAlign w:val="bottom"/>
          </w:tcPr>
          <w:p>
            <w:pPr>
              <w:spacing w:after="0"/>
              <w:rPr>
                <w:sz w:val="18"/>
                <w:szCs w:val="18"/>
                <w:color w:val="auto"/>
              </w:rPr>
            </w:pPr>
          </w:p>
        </w:tc>
        <w:tc>
          <w:tcPr>
            <w:tcW w:w="12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37</w:t>
            </w:r>
          </w:p>
        </w:tc>
        <w:tc>
          <w:tcPr>
            <w:tcW w:w="24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182</w:t>
            </w:r>
          </w:p>
        </w:tc>
        <w:tc>
          <w:tcPr>
            <w:tcW w:w="36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151</w:t>
            </w:r>
          </w:p>
        </w:tc>
        <w:tc>
          <w:tcPr>
            <w:tcW w:w="0" w:type="dxa"/>
            <w:vAlign w:val="bottom"/>
          </w:tcPr>
          <w:p>
            <w:pPr>
              <w:spacing w:after="0"/>
              <w:rPr>
                <w:sz w:val="1"/>
                <w:szCs w:val="1"/>
                <w:color w:val="auto"/>
              </w:rPr>
            </w:pPr>
          </w:p>
        </w:tc>
      </w:tr>
      <w:tr>
        <w:trPr>
          <w:trHeight w:val="216"/>
        </w:trPr>
        <w:tc>
          <w:tcPr>
            <w:tcW w:w="3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Restructuring and other charges</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88</w:t>
            </w:r>
          </w:p>
        </w:tc>
        <w:tc>
          <w:tcPr>
            <w:tcW w:w="2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21</w:t>
            </w:r>
          </w:p>
        </w:tc>
        <w:tc>
          <w:tcPr>
            <w:tcW w:w="3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84</w:t>
            </w:r>
          </w:p>
        </w:tc>
        <w:tc>
          <w:tcPr>
            <w:tcW w:w="0" w:type="dxa"/>
            <w:vAlign w:val="bottom"/>
          </w:tcPr>
          <w:p>
            <w:pPr>
              <w:spacing w:after="0"/>
              <w:rPr>
                <w:sz w:val="1"/>
                <w:szCs w:val="1"/>
                <w:color w:val="auto"/>
              </w:rPr>
            </w:pPr>
          </w:p>
        </w:tc>
      </w:tr>
      <w:tr>
        <w:trPr>
          <w:trHeight w:val="229"/>
        </w:trPr>
        <w:tc>
          <w:tcPr>
            <w:tcW w:w="3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Provision for depreciation and amortization</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73</w:t>
            </w:r>
          </w:p>
        </w:tc>
        <w:tc>
          <w:tcPr>
            <w:tcW w:w="260" w:type="dxa"/>
            <w:vAlign w:val="bottom"/>
          </w:tcPr>
          <w:p>
            <w:pPr>
              <w:spacing w:after="0"/>
              <w:rPr>
                <w:sz w:val="19"/>
                <w:szCs w:val="19"/>
                <w:color w:val="auto"/>
              </w:rPr>
            </w:pPr>
          </w:p>
        </w:tc>
        <w:tc>
          <w:tcPr>
            <w:tcW w:w="12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72</w:t>
            </w:r>
          </w:p>
        </w:tc>
        <w:tc>
          <w:tcPr>
            <w:tcW w:w="240" w:type="dxa"/>
            <w:vAlign w:val="bottom"/>
          </w:tcPr>
          <w:p>
            <w:pPr>
              <w:spacing w:after="0"/>
              <w:rPr>
                <w:sz w:val="19"/>
                <w:szCs w:val="19"/>
                <w:color w:val="auto"/>
              </w:rPr>
            </w:pPr>
          </w:p>
        </w:tc>
        <w:tc>
          <w:tcPr>
            <w:tcW w:w="12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73</w:t>
            </w:r>
          </w:p>
        </w:tc>
        <w:tc>
          <w:tcPr>
            <w:tcW w:w="240" w:type="dxa"/>
            <w:vAlign w:val="bottom"/>
          </w:tcPr>
          <w:p>
            <w:pPr>
              <w:spacing w:after="0"/>
              <w:rPr>
                <w:sz w:val="19"/>
                <w:szCs w:val="19"/>
                <w:color w:val="auto"/>
              </w:rPr>
            </w:pP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277</w:t>
            </w:r>
          </w:p>
        </w:tc>
        <w:tc>
          <w:tcPr>
            <w:tcW w:w="36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283</w:t>
            </w:r>
          </w:p>
        </w:tc>
        <w:tc>
          <w:tcPr>
            <w:tcW w:w="0" w:type="dxa"/>
            <w:vAlign w:val="bottom"/>
          </w:tcPr>
          <w:p>
            <w:pPr>
              <w:spacing w:after="0"/>
              <w:rPr>
                <w:sz w:val="1"/>
                <w:szCs w:val="1"/>
                <w:color w:val="auto"/>
              </w:rPr>
            </w:pPr>
          </w:p>
        </w:tc>
      </w:tr>
      <w:tr>
        <w:trPr>
          <w:trHeight w:val="210"/>
        </w:trPr>
        <w:tc>
          <w:tcPr>
            <w:tcW w:w="38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w:t>
            </w:r>
          </w:p>
        </w:tc>
        <w:tc>
          <w:tcPr>
            <w:tcW w:w="2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614</w:t>
            </w:r>
          </w:p>
        </w:tc>
        <w:tc>
          <w:tcPr>
            <w:tcW w:w="2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w:t>
            </w:r>
          </w:p>
        </w:tc>
        <w:tc>
          <w:tcPr>
            <w:tcW w:w="2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1,931</w:t>
            </w:r>
          </w:p>
        </w:tc>
        <w:tc>
          <w:tcPr>
            <w:tcW w:w="26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2,413</w:t>
            </w: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Plant fire reimbursements, net</w:t>
            </w:r>
          </w:p>
        </w:tc>
        <w:tc>
          <w:tcPr>
            <w:tcW w:w="360" w:type="dxa"/>
            <w:vAlign w:val="bottom"/>
            <w:gridSpan w:val="2"/>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(12)</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(18)</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Acquisition costs</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w:t>
            </w:r>
          </w:p>
        </w:tc>
        <w:tc>
          <w:tcPr>
            <w:tcW w:w="2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198"/>
        </w:trPr>
        <w:tc>
          <w:tcPr>
            <w:tcW w:w="382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Costs associated with closures, supply chain</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3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disruptions, and other items</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w:t>
            </w:r>
          </w:p>
        </w:tc>
        <w:tc>
          <w:tcPr>
            <w:tcW w:w="260" w:type="dxa"/>
            <w:vAlign w:val="bottom"/>
          </w:tcPr>
          <w:p>
            <w:pPr>
              <w:spacing w:after="0"/>
              <w:rPr>
                <w:sz w:val="21"/>
                <w:szCs w:val="21"/>
                <w:color w:val="auto"/>
              </w:rPr>
            </w:pPr>
          </w:p>
        </w:tc>
        <w:tc>
          <w:tcPr>
            <w:tcW w:w="12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12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tcPr>
          <w:p>
            <w:pPr>
              <w:spacing w:after="0"/>
              <w:rPr>
                <w:sz w:val="21"/>
                <w:szCs w:val="21"/>
                <w:color w:val="auto"/>
              </w:rPr>
            </w:pP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w:t>
            </w:r>
          </w:p>
        </w:tc>
        <w:tc>
          <w:tcPr>
            <w:tcW w:w="360" w:type="dxa"/>
            <w:vAlign w:val="bottom"/>
          </w:tcPr>
          <w:p>
            <w:pPr>
              <w:spacing w:after="0"/>
              <w:rPr>
                <w:sz w:val="21"/>
                <w:szCs w:val="21"/>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9"/>
        </w:trPr>
        <w:tc>
          <w:tcPr>
            <w:tcW w:w="38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EBITDA excluding Special items</w:t>
            </w: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w:t>
            </w:r>
          </w:p>
        </w:tc>
        <w:tc>
          <w:tcPr>
            <w:tcW w:w="2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614</w:t>
            </w:r>
          </w:p>
        </w:tc>
        <w:tc>
          <w:tcPr>
            <w:tcW w:w="2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653</w:t>
            </w:r>
          </w:p>
        </w:tc>
        <w:tc>
          <w:tcPr>
            <w:tcW w:w="2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1,914</w:t>
            </w:r>
          </w:p>
        </w:tc>
        <w:tc>
          <w:tcPr>
            <w:tcW w:w="26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2,416</w:t>
            </w: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EBITDA margin excluding Special items</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26.8%</w:t>
            </w:r>
          </w:p>
        </w:tc>
        <w:tc>
          <w:tcPr>
            <w:tcW w:w="2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29.4%</w:t>
            </w:r>
          </w:p>
        </w:tc>
        <w:tc>
          <w:tcPr>
            <w:tcW w:w="2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30.1%</w:t>
            </w:r>
          </w:p>
        </w:tc>
        <w:tc>
          <w:tcPr>
            <w:tcW w:w="2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25.8%</w:t>
            </w:r>
          </w:p>
        </w:tc>
        <w:tc>
          <w:tcPr>
            <w:tcW w:w="3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29.3%</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Adjusted EBITDA, Adjusted EBITDA excluding Special items, and Adjusted EBITDA margin excluding Special items are non-GAAP financial measures. Management believes that these measures are meaningful to investors because they provide additional information with respect to the Company's operating performance and the Company’s ability to meet its financial obligations. The Adjusted EBITDA presented may not be comparable to similarly titled measures of other companies. The Company's definition of Adjusted EBITDA (Earnings before interest, taxes, depreciation, and amortization) is net margin plus an add-back for depreciation and amortization. Net margin is equivalent to Sales minus the following items: Cost of goods sold, Selling, general administrative, and other expenses, Research and development expenses, and Provision for depreciation and amortization. Special items, including Restructuring and other charges, are excluded from Adjusted EBITDA.</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color w:val="auto"/>
        </w:rPr>
        <w:t>Howmet Aerospace Inc.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Calculation of Financial Measures (unaudited), continued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 U.S. dollar millions)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2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Quarter ended</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0" w:type="dxa"/>
            <w:vAlign w:val="bottom"/>
            <w:gridSpan w:val="6"/>
          </w:tcPr>
          <w:p>
            <w:pPr>
              <w:jc w:val="right"/>
              <w:ind w:right="1100"/>
              <w:spacing w:after="0"/>
              <w:rPr>
                <w:sz w:val="20"/>
                <w:szCs w:val="20"/>
                <w:color w:val="auto"/>
              </w:rPr>
            </w:pPr>
            <w:r>
              <w:rPr>
                <w:rFonts w:ascii="Times New Roman" w:cs="Times New Roman" w:eastAsia="Times New Roman" w:hAnsi="Times New Roman"/>
                <w:sz w:val="18"/>
                <w:szCs w:val="18"/>
                <w:b w:val="1"/>
                <w:bCs w:val="1"/>
                <w:color w:val="auto"/>
              </w:rPr>
              <w:t>Year ended</w:t>
            </w:r>
          </w:p>
        </w:tc>
      </w:tr>
      <w:tr>
        <w:trPr>
          <w:trHeight w:val="174"/>
        </w:trPr>
        <w:tc>
          <w:tcPr>
            <w:tcW w:w="3820" w:type="dxa"/>
            <w:vAlign w:val="bottom"/>
          </w:tcPr>
          <w:p>
            <w:pPr>
              <w:spacing w:after="0" w:line="174" w:lineRule="exact"/>
              <w:rPr>
                <w:sz w:val="20"/>
                <w:szCs w:val="20"/>
                <w:color w:val="auto"/>
              </w:rPr>
            </w:pPr>
            <w:r>
              <w:rPr>
                <w:rFonts w:ascii="Times New Roman" w:cs="Times New Roman" w:eastAsia="Times New Roman" w:hAnsi="Times New Roman"/>
                <w:sz w:val="18"/>
                <w:szCs w:val="18"/>
                <w:b w:val="1"/>
                <w:bCs w:val="1"/>
                <w:color w:val="auto"/>
              </w:rPr>
              <w:t>Reconciliation of Adjusted Operating Income</w:t>
            </w:r>
          </w:p>
        </w:tc>
        <w:tc>
          <w:tcPr>
            <w:tcW w:w="12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r>
      <w:tr>
        <w:trPr>
          <w:trHeight w:val="216"/>
        </w:trPr>
        <w:tc>
          <w:tcPr>
            <w:tcW w:w="3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Excluding Special Items and Adjusted Operating</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w w:val="97"/>
              </w:rPr>
              <w:t>December 31,</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w w:val="97"/>
              </w:rPr>
              <w:t>December 31,</w:t>
            </w:r>
          </w:p>
        </w:tc>
      </w:tr>
      <w:tr>
        <w:trPr>
          <w:trHeight w:val="238"/>
        </w:trPr>
        <w:tc>
          <w:tcPr>
            <w:tcW w:w="3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Income Margin Excluding Special Items</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b w:val="1"/>
                <w:bCs w:val="1"/>
                <w:color w:val="auto"/>
              </w:rPr>
              <w:t>4Q24</w:t>
            </w:r>
          </w:p>
        </w:tc>
        <w:tc>
          <w:tcPr>
            <w:tcW w:w="260" w:type="dxa"/>
            <w:vAlign w:val="bottom"/>
          </w:tcPr>
          <w:p>
            <w:pPr>
              <w:spacing w:after="0"/>
              <w:rPr>
                <w:sz w:val="20"/>
                <w:szCs w:val="20"/>
                <w:color w:val="auto"/>
              </w:rPr>
            </w:pPr>
          </w:p>
        </w:tc>
        <w:tc>
          <w:tcPr>
            <w:tcW w:w="116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3Q25</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b w:val="1"/>
                <w:bCs w:val="1"/>
                <w:color w:val="auto"/>
              </w:rPr>
              <w:t>4Q25</w:t>
            </w:r>
          </w:p>
        </w:tc>
        <w:tc>
          <w:tcPr>
            <w:tcW w:w="80" w:type="dxa"/>
            <w:vAlign w:val="bottom"/>
          </w:tcPr>
          <w:p>
            <w:pPr>
              <w:spacing w:after="0"/>
              <w:rPr>
                <w:sz w:val="20"/>
                <w:szCs w:val="20"/>
                <w:color w:val="auto"/>
              </w:rPr>
            </w:pPr>
          </w:p>
        </w:tc>
        <w:tc>
          <w:tcPr>
            <w:tcW w:w="114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60" w:type="dxa"/>
            <w:vAlign w:val="bottom"/>
          </w:tcPr>
          <w:p>
            <w:pPr>
              <w:spacing w:after="0"/>
              <w:rPr>
                <w:sz w:val="20"/>
                <w:szCs w:val="20"/>
                <w:color w:val="auto"/>
              </w:rPr>
            </w:pPr>
          </w:p>
        </w:tc>
      </w:tr>
      <w:tr>
        <w:trPr>
          <w:trHeight w:val="209"/>
        </w:trPr>
        <w:tc>
          <w:tcPr>
            <w:tcW w:w="38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w:t>
            </w: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1,891</w:t>
            </w:r>
          </w:p>
        </w:tc>
        <w:tc>
          <w:tcPr>
            <w:tcW w:w="2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2,089</w:t>
            </w:r>
          </w:p>
        </w:tc>
        <w:tc>
          <w:tcPr>
            <w:tcW w:w="2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2,168</w:t>
            </w:r>
          </w:p>
        </w:tc>
        <w:tc>
          <w:tcPr>
            <w:tcW w:w="2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7,430</w:t>
            </w:r>
          </w:p>
        </w:tc>
        <w:tc>
          <w:tcPr>
            <w:tcW w:w="2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8,252</w:t>
            </w:r>
          </w:p>
        </w:tc>
        <w:tc>
          <w:tcPr>
            <w:tcW w:w="160" w:type="dxa"/>
            <w:vAlign w:val="bottom"/>
            <w:tcBorders>
              <w:top w:val="single" w:sz="8" w:color="CCEEFF"/>
            </w:tcBorders>
            <w:shd w:val="clear" w:color="auto" w:fill="CCEEFF"/>
          </w:tcPr>
          <w:p>
            <w:pPr>
              <w:spacing w:after="0"/>
              <w:rPr>
                <w:sz w:val="18"/>
                <w:szCs w:val="18"/>
                <w:color w:val="auto"/>
              </w:rPr>
            </w:pPr>
          </w:p>
        </w:tc>
      </w:tr>
      <w:tr>
        <w:trPr>
          <w:trHeight w:val="216"/>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360" w:type="dxa"/>
            <w:vAlign w:val="bottom"/>
            <w:gridSpan w:val="2"/>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445</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542</w:t>
            </w:r>
          </w:p>
        </w:tc>
        <w:tc>
          <w:tcPr>
            <w:tcW w:w="300" w:type="dxa"/>
            <w:vAlign w:val="bottom"/>
            <w:gridSpan w:val="2"/>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489</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1,633</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2,046</w:t>
            </w:r>
          </w:p>
        </w:tc>
      </w:tr>
      <w:tr>
        <w:trPr>
          <w:trHeight w:val="216"/>
        </w:trPr>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 margin</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23.5%</w:t>
            </w: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25.9%</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22.6%</w:t>
            </w:r>
          </w:p>
        </w:tc>
        <w:tc>
          <w:tcPr>
            <w:tcW w:w="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22.0%</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24.8%</w:t>
            </w:r>
          </w:p>
        </w:tc>
      </w:tr>
      <w:tr>
        <w:trPr>
          <w:trHeight w:val="216"/>
        </w:trPr>
        <w:tc>
          <w:tcPr>
            <w:tcW w:w="3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3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Restructuring and other charges</w:t>
            </w:r>
          </w:p>
        </w:tc>
        <w:tc>
          <w:tcPr>
            <w:tcW w:w="360" w:type="dxa"/>
            <w:vAlign w:val="bottom"/>
            <w:gridSpan w:val="2"/>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88</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21</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84</w:t>
            </w:r>
          </w:p>
        </w:tc>
      </w:tr>
      <w:tr>
        <w:trPr>
          <w:trHeight w:val="216"/>
        </w:trPr>
        <w:tc>
          <w:tcPr>
            <w:tcW w:w="3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Plant fire reimbursements, net</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(12)</w:t>
            </w: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(18)</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Acquisition costs</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w:t>
            </w:r>
          </w:p>
        </w:tc>
      </w:tr>
      <w:tr>
        <w:trPr>
          <w:trHeight w:val="198"/>
        </w:trPr>
        <w:tc>
          <w:tcPr>
            <w:tcW w:w="382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Costs associated with closures, supply chain</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48"/>
        </w:trPr>
        <w:tc>
          <w:tcPr>
            <w:tcW w:w="3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disruptions, and other items</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w:t>
            </w:r>
          </w:p>
        </w:tc>
        <w:tc>
          <w:tcPr>
            <w:tcW w:w="26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w:t>
            </w:r>
          </w:p>
        </w:tc>
        <w:tc>
          <w:tcPr>
            <w:tcW w:w="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w:t>
            </w:r>
          </w:p>
        </w:tc>
      </w:tr>
      <w:tr>
        <w:trPr>
          <w:trHeight w:val="210"/>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Adjusted operating income excluding Special items</w:t>
            </w:r>
          </w:p>
        </w:tc>
        <w:tc>
          <w:tcPr>
            <w:tcW w:w="120" w:type="dxa"/>
            <w:vAlign w:val="bottom"/>
          </w:tcPr>
          <w:p>
            <w:pPr>
              <w:spacing w:after="0"/>
              <w:rPr>
                <w:sz w:val="18"/>
                <w:szCs w:val="18"/>
                <w:color w:val="auto"/>
              </w:rPr>
            </w:pPr>
          </w:p>
        </w:tc>
        <w:tc>
          <w:tcPr>
            <w:tcW w:w="240" w:type="dxa"/>
            <w:vAlign w:val="bottom"/>
            <w:tcBorders>
              <w:top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434</w:t>
            </w:r>
          </w:p>
        </w:tc>
        <w:tc>
          <w:tcPr>
            <w:tcW w:w="260" w:type="dxa"/>
            <w:vAlign w:val="bottom"/>
          </w:tcPr>
          <w:p>
            <w:pPr>
              <w:spacing w:after="0"/>
              <w:rPr>
                <w:sz w:val="18"/>
                <w:szCs w:val="18"/>
                <w:color w:val="auto"/>
              </w:rPr>
            </w:pPr>
          </w:p>
        </w:tc>
        <w:tc>
          <w:tcPr>
            <w:tcW w:w="26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542</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Borders>
              <w:top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580</w:t>
            </w:r>
          </w:p>
        </w:tc>
        <w:tc>
          <w:tcPr>
            <w:tcW w:w="280" w:type="dxa"/>
            <w:vAlign w:val="bottom"/>
          </w:tcPr>
          <w:p>
            <w:pPr>
              <w:spacing w:after="0"/>
              <w:rPr>
                <w:sz w:val="18"/>
                <w:szCs w:val="18"/>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1,637</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2,133</w:t>
            </w:r>
          </w:p>
        </w:tc>
        <w:tc>
          <w:tcPr>
            <w:tcW w:w="160" w:type="dxa"/>
            <w:vAlign w:val="bottom"/>
          </w:tcPr>
          <w:p>
            <w:pPr>
              <w:spacing w:after="0"/>
              <w:rPr>
                <w:sz w:val="18"/>
                <w:szCs w:val="18"/>
                <w:color w:val="auto"/>
              </w:rPr>
            </w:pPr>
          </w:p>
        </w:tc>
      </w:tr>
      <w:tr>
        <w:trPr>
          <w:trHeight w:val="216"/>
        </w:trPr>
        <w:tc>
          <w:tcPr>
            <w:tcW w:w="3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198"/>
        </w:trPr>
        <w:tc>
          <w:tcPr>
            <w:tcW w:w="38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Adjusted operating income margin excluding</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34"/>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Special items</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23.0%</w:t>
            </w:r>
          </w:p>
        </w:tc>
        <w:tc>
          <w:tcPr>
            <w:tcW w:w="260" w:type="dxa"/>
            <w:vAlign w:val="bottom"/>
          </w:tcPr>
          <w:p>
            <w:pPr>
              <w:spacing w:after="0"/>
              <w:rPr>
                <w:sz w:val="20"/>
                <w:szCs w:val="20"/>
                <w:color w:val="auto"/>
              </w:rPr>
            </w:pP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25.9%</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26.8%</w:t>
            </w:r>
          </w:p>
        </w:tc>
        <w:tc>
          <w:tcPr>
            <w:tcW w:w="80" w:type="dxa"/>
            <w:vAlign w:val="bottom"/>
          </w:tcPr>
          <w:p>
            <w:pPr>
              <w:spacing w:after="0"/>
              <w:rPr>
                <w:sz w:val="20"/>
                <w:szCs w:val="20"/>
                <w:color w:val="auto"/>
              </w:rPr>
            </w:pPr>
          </w:p>
        </w:tc>
        <w:tc>
          <w:tcPr>
            <w:tcW w:w="13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22.0%</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25.8%</w:t>
            </w:r>
          </w:p>
        </w:tc>
      </w:tr>
    </w:tbl>
    <w:p>
      <w:pPr>
        <w:spacing w:after="0" w:line="198" w:lineRule="exact"/>
        <w:rPr>
          <w:sz w:val="20"/>
          <w:szCs w:val="20"/>
          <w:color w:val="auto"/>
        </w:rPr>
      </w:pPr>
    </w:p>
    <w:p>
      <w:pPr>
        <w:ind w:right="300"/>
        <w:spacing w:after="0" w:line="258" w:lineRule="auto"/>
        <w:rPr>
          <w:sz w:val="20"/>
          <w:szCs w:val="20"/>
          <w:color w:val="auto"/>
        </w:rPr>
      </w:pPr>
      <w:r>
        <w:rPr>
          <w:rFonts w:ascii="Times New Roman" w:cs="Times New Roman" w:eastAsia="Times New Roman" w:hAnsi="Times New Roman"/>
          <w:sz w:val="18"/>
          <w:szCs w:val="18"/>
          <w:color w:val="auto"/>
        </w:rPr>
        <w:t>Adjusted operating income excluding Special items and Adjusted operating income margin excluding Special items are non-GAAP financial measures. Special items, including Restructuring and other charges, are excluded from Adjusted operating income. Management believes that these measures are meaningful to investors because management reviews the operating results of the Company excluding the impacts of Special items. There can be no assurances that additional Special items will not occur in future periods. To compensate for this limitation, management believes that it is appropriate to consider both Operating income determined under GAAP as well as Operating income excluding Special items.</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abstractNum>
  <w:abstractNum w:abstractNumId="1">
    <w:nsid w:val="515F007C"/>
    <w:multiLevelType w:val="hybridMultilevel"/>
    <w:lvl w:ilvl="0">
      <w:lvlJc w:val="left"/>
      <w:lvlText w:val="·"/>
      <w:numFmt w:val="bullet"/>
      <w:start w:val="1"/>
    </w:lvl>
  </w:abstractNum>
  <w:abstractNum w:abstractNumId="2">
    <w:nsid w:val="5BD062C2"/>
    <w:multiLevelType w:val="hybridMultilevel"/>
    <w:lvl w:ilvl="0">
      <w:lvlJc w:val="left"/>
      <w:lvlText w:val="·"/>
      <w:numFmt w:val="bullet"/>
      <w:start w:val="1"/>
    </w:lvl>
  </w:abstractNum>
  <w:abstractNum w:abstractNumId="3">
    <w:nsid w:val="12200854"/>
    <w:multiLevelType w:val="hybridMultilevel"/>
    <w:lvl w:ilvl="0">
      <w:lvlJc w:val="left"/>
      <w:lvlText w:val="·"/>
      <w:numFmt w:val="bullet"/>
      <w:start w:val="1"/>
    </w:lvl>
  </w:abstractNum>
  <w:abstractNum w:abstractNumId="4">
    <w:nsid w:val="4DB127F8"/>
    <w:multiLevelType w:val="hybridMultilevel"/>
    <w:lvl w:ilvl="0">
      <w:lvlJc w:val="left"/>
      <w:lvlText w:val="*"/>
      <w:numFmt w:val="bullet"/>
      <w:start w:val="1"/>
    </w:lvl>
    <w:lvl w:ilvl="1">
      <w:lvlJc w:val="left"/>
      <w:lvlText w:val="·"/>
      <w:numFmt w:val="bullet"/>
      <w:start w:val="1"/>
    </w:lvl>
  </w:abstractNum>
  <w:abstractNum w:abstractNumId="5">
    <w:nsid w:val="216231B"/>
    <w:multiLevelType w:val="hybridMultilevel"/>
    <w:lvl w:ilvl="0">
      <w:lvlJc w:val="left"/>
      <w:lvlText w:val="·"/>
      <w:numFmt w:val="bullet"/>
      <w:start w:val="1"/>
    </w:lvl>
  </w:abstractNum>
  <w:abstractNum w:abstractNumId="6">
    <w:nsid w:val="1F16E9E8"/>
    <w:multiLevelType w:val="hybridMultilevel"/>
    <w:lvl w:ilvl="0">
      <w:lvlJc w:val="left"/>
      <w:lvlText w:val="1"/>
      <w:numFmt w:val="bullet"/>
      <w:start w:val="1"/>
    </w:lvl>
  </w:abstractNum>
  <w:abstractNum w:abstractNumId="7">
    <w:nsid w:val="1190CDE7"/>
    <w:multiLevelType w:val="hybridMultilevel"/>
    <w:lvl w:ilvl="0">
      <w:lvlJc w:val="left"/>
      <w:lvlText w:val="1"/>
      <w:numFmt w:val="bullet"/>
      <w:start w:val="1"/>
    </w:lvl>
  </w:abstractNum>
  <w:abstractNum w:abstractNumId="8">
    <w:nsid w:val="66EF438D"/>
    <w:multiLevelType w:val="hybridMultilevel"/>
    <w:lvl w:ilvl="0">
      <w:lvlJc w:val="left"/>
      <w:lvlText w:val="(%1)"/>
      <w:numFmt w:val="lowerLetter"/>
      <w:start w:val="2"/>
    </w:lvl>
  </w:abstractNum>
  <w:abstractNum w:abstractNumId="9">
    <w:nsid w:val="140E0F76"/>
    <w:multiLevelType w:val="hybridMultilevel"/>
    <w:lvl w:ilvl="0">
      <w:lvlJc w:val="left"/>
      <w:lvlText w:val="(%1)"/>
      <w:numFmt w:val="decimal"/>
      <w:start w:val="1"/>
    </w:lvl>
  </w:abstractNum>
  <w:abstractNum w:abstractNumId="10">
    <w:nsid w:val="3352255A"/>
    <w:multiLevelType w:val="hybridMultilevel"/>
    <w:lvl w:ilvl="0">
      <w:lvlJc w:val="left"/>
      <w:lvlText w:val="(%1)"/>
      <w:numFmt w:val="decimal"/>
      <w:start w:val="1"/>
    </w:lvl>
  </w:abstractNum>
  <w:abstractNum w:abstractNumId="11">
    <w:nsid w:val="109CF92E"/>
    <w:multiLevelType w:val="hybridMultilevel"/>
    <w:lvl w:ilvl="0">
      <w:lvlJc w:val="left"/>
      <w:lvlText w:val="(%1)"/>
      <w:numFmt w:val="decimal"/>
      <w:start w:val="1"/>
    </w:lvl>
  </w:abstractNum>
  <w:abstractNum w:abstractNumId="12">
    <w:nsid w:val="DED7263"/>
    <w:multiLevelType w:val="hybridMultilevel"/>
    <w:lvl w:ilvl="0">
      <w:lvlJc w:val="left"/>
      <w:lvlText w:val="(%1)"/>
      <w:numFmt w:val="decimal"/>
      <w:start w:val="1"/>
    </w:lvl>
  </w:abstractNum>
  <w:abstractNum w:abstractNumId="13">
    <w:nsid w:val="7FDCC233"/>
    <w:multiLevelType w:val="hybridMultilevel"/>
    <w:lvl w:ilvl="0">
      <w:lvlJc w:val="left"/>
      <w:lvlText w:val="(%1)"/>
      <w:numFmt w:val="decimal"/>
      <w:start w:val="1"/>
    </w:lvl>
    <w:lvl w:ilvl="1">
      <w:lvlJc w:val="left"/>
      <w:lvlText w:val="·"/>
      <w:numFmt w:val="bullet"/>
      <w:start w:val="1"/>
    </w:lvl>
  </w:abstractNum>
  <w:abstractNum w:abstractNumId="14">
    <w:nsid w:val="1BEFD79F"/>
    <w:multiLevelType w:val="hybridMultilevel"/>
    <w:lvl w:ilvl="0">
      <w:lvlJc w:val="left"/>
      <w:lvlText w:val="(%1)"/>
      <w:numFmt w:val="decimal"/>
      <w:start w:val="1"/>
    </w:lvl>
    <w:lvl w:ilvl="1">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2026-02-12T06:05:26Z</dcterms:created>
  <dcterms:modified xsi:type="dcterms:W3CDTF">2026-02-12T06:05:26Z</dcterms:modified>
</cp:coreProperties>
</file>