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325d1_8k.htm"/>
      <w:bookmarkStart w:id="1" w:name="kstm2622325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August 6, 2026 (</w:t>
      </w:r>
      <w:bookmarkStart w:id="3" w:name="xdx_900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shd w:fill="FFFFFF" w:val="clear"/>
        </w:rPr>
      </w:pPr>
      <w:bookmarkStart w:id="4" w:name="xdx_90D_edei--EntityRegistrantName_c2026"/>
      <w:bookmarkEnd w:id="4"/>
      <w:r>
        <w:rPr>
          <w:rFonts w:ascii="Times New Roman;Times;Serif" w:hAnsi="Times New Roman;Times;Serif"/>
          <w:b/>
          <w:i w:val="false"/>
          <w:caps w:val="false"/>
          <w:smallCaps w:val="false"/>
          <w:sz w:val="48"/>
          <w:shd w:fill="FFFFFF" w:val="clear"/>
        </w:rPr>
        <w:t>HOWMET AEROSPACE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2240"/>
        <w:gridCol w:w="2615"/>
        <w:gridCol w:w="1775"/>
      </w:tblGrid>
      <w:tr>
        <w:trPr/>
        <w:tc>
          <w:tcPr>
            <w:tcW w:w="22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26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06"/>
            <w:bookmarkEnd w:id="6"/>
            <w:r>
              <w:rPr>
                <w:rFonts w:ascii="Times New Roman;Times;Serif" w:hAnsi="Times New Roman;Times;Serif"/>
                <w:b/>
                <w:i w:val="false"/>
                <w:caps w:val="false"/>
                <w:smallCaps w:val="false"/>
                <w:sz w:val="20"/>
              </w:rPr>
              <w:t>1-3610</w:t>
            </w:r>
          </w:p>
        </w:tc>
        <w:tc>
          <w:tcPr>
            <w:tcW w:w="17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25-0317820</w:t>
            </w:r>
          </w:p>
        </w:tc>
      </w:tr>
      <w:tr>
        <w:trPr/>
        <w:tc>
          <w:tcPr>
            <w:tcW w:w="2240" w:type="dxa"/>
            <w:tcBorders/>
            <w:vAlign w:val="center"/>
          </w:tcPr>
          <w:p>
            <w:pPr>
              <w:pStyle w:val="TableContents"/>
              <w:bidi w:val="0"/>
              <w:spacing w:before="0" w:after="283"/>
              <w:jc w:val="center"/>
              <w:rPr/>
            </w:pPr>
            <w:r>
              <w:rPr/>
              <w:t>(State of 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jc w:val="center"/>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75"/>
        <w:gridCol w:w="60"/>
        <w:gridCol w:w="104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201 Isabella Street, </w:t>
            </w:r>
            <w:bookmarkStart w:id="9" w:name="xdx_90D_edei--EntityAddressAddressLine2_"/>
            <w:bookmarkEnd w:id="9"/>
            <w:r>
              <w:rPr>
                <w:rFonts w:ascii="Times New Roman;Times;Serif" w:hAnsi="Times New Roman;Times;Serif"/>
                <w:b/>
                <w:i w:val="false"/>
                <w:caps w:val="false"/>
                <w:smallCaps w:val="false"/>
                <w:sz w:val="20"/>
              </w:rPr>
              <w:t>Suite 200</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Pittsburgh, </w:t>
            </w:r>
            <w:bookmarkStart w:id="11" w:name="xdx_902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15212-5872</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of Investor Relations (412) 553-1950</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 of the Secretary (</w:t>
      </w:r>
      <w:bookmarkStart w:id="13" w:name="xdx_905_edei--CityAreaCode_c20260806__20"/>
      <w:bookmarkEnd w:id="13"/>
      <w:r>
        <w:rPr>
          <w:rFonts w:ascii="Times New Roman;Times;Serif" w:hAnsi="Times New Roman;Times;Serif"/>
          <w:b/>
          <w:i w:val="false"/>
          <w:caps w:val="false"/>
          <w:smallCaps w:val="false"/>
          <w:sz w:val="20"/>
        </w:rPr>
        <w:t xml:space="preserve">412) </w:t>
      </w:r>
      <w:bookmarkStart w:id="14" w:name="xdx_909_edei--LocalPhoneNumber_c20260806"/>
      <w:bookmarkEnd w:id="14"/>
      <w:r>
        <w:rPr>
          <w:rFonts w:ascii="Times New Roman;Times;Serif" w:hAnsi="Times New Roman;Times;Serif"/>
          <w:b/>
          <w:i w:val="false"/>
          <w:caps w:val="false"/>
          <w:smallCaps w:val="false"/>
          <w:sz w:val="20"/>
        </w:rPr>
        <w:t>553-1940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numbers,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5" w:name="xdx_90A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6" w:name="xdx_906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7" w:name="xdx_903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bookmarkStart w:id="18" w:name="xdx_905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435" w:type="dxa"/>
        <w:jc w:val="left"/>
        <w:tblInd w:w="-10" w:type="dxa"/>
        <w:tblLayout w:type="fixed"/>
        <w:tblCellMar>
          <w:top w:w="40" w:type="dxa"/>
          <w:left w:w="40" w:type="dxa"/>
          <w:bottom w:w="40" w:type="dxa"/>
          <w:right w:w="40" w:type="dxa"/>
        </w:tblCellMar>
      </w:tblPr>
      <w:tblGrid>
        <w:gridCol w:w="4310"/>
        <w:gridCol w:w="1535"/>
        <w:gridCol w:w="3590"/>
      </w:tblGrid>
      <w:tr>
        <w:trPr/>
        <w:tc>
          <w:tcPr>
            <w:tcW w:w="43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43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rPr>
            </w:pPr>
            <w:bookmarkStart w:id="19" w:name="xdx_917_eus-gaap--CommonStockMember_zHZu"/>
            <w:bookmarkStart w:id="20" w:name="xdx_90F_edei--Security12bTitle_c20260806"/>
            <w:bookmarkEnd w:id="19"/>
            <w:bookmarkEnd w:id="20"/>
            <w:r>
              <w:rPr>
                <w:b/>
              </w:rPr>
              <w:t>Common Stock, par value $1.00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bookmarkStart w:id="21" w:name="xdx_90A_edei--TradingSymbol_c20260806__2"/>
            <w:bookmarkEnd w:id="21"/>
            <w:r>
              <w:rPr>
                <w:b/>
                <w:sz w:val="20"/>
              </w:rPr>
              <w:t>HWM</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20"/>
              </w:rPr>
            </w:pPr>
            <w:bookmarkStart w:id="22" w:name="xdx_900_edei--SecurityExchangeName_c2026"/>
            <w:bookmarkEnd w:id="22"/>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8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Howmet Aerospace Inc. issued a press release announcing its financial results for the second quarter of 2026. A copy of the press release is attached hereto as Exhibit 99.1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Item 2.02 of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455"/>
        <w:gridCol w:w="7580"/>
      </w:tblGrid>
      <w:tr>
        <w:trPr/>
        <w:tc>
          <w:tcPr>
            <w:tcW w:w="455" w:type="dxa"/>
            <w:tcBorders/>
            <w:vAlign w:val="center"/>
          </w:tcPr>
          <w:p>
            <w:pPr>
              <w:pStyle w:val="TableContents"/>
              <w:bidi w:val="0"/>
              <w:spacing w:before="0" w:after="283"/>
              <w:jc w:val="left"/>
              <w:rPr/>
            </w:pPr>
            <w:hyperlink w:anchor="tm2622325d1_ex99-1.htm">
              <w:r>
                <w:rPr>
                  <w:rStyle w:val="InternetLink"/>
                </w:rPr>
                <w:t>99.1</w:t>
              </w:r>
            </w:hyperlink>
          </w:p>
        </w:tc>
        <w:tc>
          <w:tcPr>
            <w:tcW w:w="7580" w:type="dxa"/>
            <w:tcBorders/>
            <w:vAlign w:val="center"/>
          </w:tcPr>
          <w:p>
            <w:pPr>
              <w:pStyle w:val="TableContents"/>
              <w:bidi w:val="0"/>
              <w:spacing w:before="0" w:after="283"/>
              <w:jc w:val="both"/>
              <w:rPr/>
            </w:pPr>
            <w:hyperlink w:anchor="tm2622325d1_ex99-1.htm">
              <w:r>
                <w:rPr>
                  <w:rStyle w:val="InternetLink"/>
                </w:rPr>
                <w:t>Howmet Aerospace Inc. press release dated August 6, 2026.</w:t>
              </w:r>
            </w:hyperlink>
          </w:p>
        </w:tc>
      </w:tr>
      <w:tr>
        <w:trPr/>
        <w:tc>
          <w:tcPr>
            <w:tcW w:w="455"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r>
              <w:rPr/>
              <w:t>104</w:t>
            </w:r>
          </w:p>
        </w:tc>
        <w:tc>
          <w:tcPr>
            <w:tcW w:w="7580" w:type="dxa"/>
            <w:tcBorders/>
            <w:vAlign w:val="center"/>
          </w:tcPr>
          <w:p>
            <w:pPr>
              <w:pStyle w:val="TableContents"/>
              <w:bidi w:val="0"/>
              <w:spacing w:before="0" w:after="283"/>
              <w:jc w:val="both"/>
              <w:rPr/>
            </w:pPr>
            <w:r>
              <w:rPr/>
              <w:t>The cover page of this Current Report on Form 8-K, formatted in Inline XBRL.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745" w:type="dxa"/>
        <w:jc w:val="left"/>
        <w:tblInd w:w="0" w:type="dxa"/>
        <w:tblLayout w:type="fixed"/>
        <w:tblCellMar>
          <w:top w:w="0" w:type="dxa"/>
          <w:left w:w="0" w:type="dxa"/>
          <w:bottom w:w="0" w:type="dxa"/>
          <w:right w:w="0" w:type="dxa"/>
        </w:tblCellMar>
      </w:tblPr>
      <w:tblGrid>
        <w:gridCol w:w="1955"/>
        <w:gridCol w:w="545"/>
        <w:gridCol w:w="6245"/>
      </w:tblGrid>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79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HOWMET AEROSPACE INC.</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6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A. Arena</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A. Arena</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Legal and Compliance Officer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caps w:val="false"/>
          <w:smallCaps w:val="false"/>
        </w:rPr>
      </w:pPr>
      <w:bookmarkStart w:id="24" w:name="tm2622325d1_ex99-1.htm"/>
      <w:bookmarkStart w:id="25" w:name="kstm2622325d1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43840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666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center"/>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2330"/>
        <w:gridCol w:w="2390"/>
      </w:tblGrid>
      <w:tr>
        <w:trPr/>
        <w:tc>
          <w:tcPr>
            <w:tcW w:w="23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tc>
        <w:tc>
          <w:tcPr>
            <w:tcW w:w="239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tc>
      </w:tr>
      <w:tr>
        <w:trPr/>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T. Luther</w:t>
            </w:r>
          </w:p>
        </w:tc>
        <w:tc>
          <w:tcPr>
            <w:tcW w:w="23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 Morrison</w:t>
            </w:r>
          </w:p>
        </w:tc>
      </w:tr>
      <w:tr>
        <w:trPr/>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553-1950</w:t>
            </w:r>
          </w:p>
        </w:tc>
        <w:tc>
          <w:tcPr>
            <w:tcW w:w="23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553-2666</w:t>
            </w:r>
          </w:p>
        </w:tc>
      </w:tr>
      <w:tr>
        <w:trPr/>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Paul.Luther@howmet.com   </w:t>
            </w:r>
          </w:p>
        </w:tc>
        <w:tc>
          <w:tcPr>
            <w:tcW w:w="239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Rob.Morrison@howmet.com</w:t>
            </w:r>
          </w:p>
        </w:tc>
      </w:tr>
    </w:tbl>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Reports Second Quarter 2026 Results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up 24% Year over Year, Organic Growth 21%</w:t>
      </w:r>
      <w:r>
        <w:rPr>
          <w:rFonts w:ascii="Times New Roman;Times;Serif" w:hAnsi="Times New Roman;Times;Serif"/>
          <w:b w:val="false"/>
          <w:i/>
          <w:caps w:val="false"/>
          <w:smallCaps w:val="false"/>
          <w:sz w:val="20"/>
          <w:shd w:fill="FFFFFF" w:val="clear"/>
        </w:rPr>
        <w:t>; G</w:t>
      </w:r>
      <w:r>
        <w:rPr>
          <w:rFonts w:ascii="Times New Roman;Times;Serif" w:hAnsi="Times New Roman;Times;Serif"/>
          <w:b w:val="false"/>
          <w:i/>
          <w:caps w:val="false"/>
          <w:smallCaps w:val="false"/>
          <w:sz w:val="20"/>
        </w:rPr>
        <w:t>AAP EPS $1.33, Adjusted EPS $1.33</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Strong Second Quarter Cash Generation; $300 Million Deployed for Common Stock Repurchases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Year 2026 Guidance Increased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Financial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0"/>
        <w:gridCol w:w="60"/>
        <w:gridCol w:w="125"/>
        <w:gridCol w:w="485"/>
        <w:gridCol w:w="185"/>
        <w:gridCol w:w="60"/>
        <w:gridCol w:w="125"/>
        <w:gridCol w:w="485"/>
        <w:gridCol w:w="185"/>
        <w:gridCol w:w="60"/>
        <w:gridCol w:w="60"/>
        <w:gridCol w:w="665"/>
        <w:gridCol w:w="305"/>
        <w:gridCol w:w="60"/>
        <w:gridCol w:w="60"/>
        <w:gridCol w:w="125"/>
        <w:gridCol w:w="485"/>
        <w:gridCol w:w="185"/>
        <w:gridCol w:w="60"/>
        <w:gridCol w:w="125"/>
        <w:gridCol w:w="485"/>
        <w:gridCol w:w="185"/>
        <w:gridCol w:w="60"/>
        <w:gridCol w:w="665"/>
        <w:gridCol w:w="305"/>
        <w:gridCol w:w="75"/>
      </w:tblGrid>
      <w:tr>
        <w:trPr/>
        <w:tc>
          <w:tcPr>
            <w:tcW w:w="45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Millions; Per share amounts in dollars, diluted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0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05"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24</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22</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CCEEFF" w:val="clear"/>
            <w:vAlign w:val="center"/>
          </w:tcPr>
          <w:p>
            <w:pPr>
              <w:pStyle w:val="TableContents"/>
              <w:bidi w:val="0"/>
              <w:spacing w:before="0" w:after="283"/>
              <w:jc w:val="left"/>
              <w:rPr/>
            </w:pPr>
            <w:r>
              <w:rPr/>
              <w:t> </w:t>
            </w:r>
          </w:p>
        </w:tc>
      </w:tr>
      <w:tr>
        <w:trPr/>
        <w:tc>
          <w:tcPr>
            <w:tcW w:w="4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GAAP Metrics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36</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44</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250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470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Earnings per Share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33</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31</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48</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CCEEFF" w:val="clear"/>
            <w:vAlign w:val="center"/>
          </w:tcPr>
          <w:p>
            <w:pPr>
              <w:pStyle w:val="TableContents"/>
              <w:bidi w:val="0"/>
              <w:spacing w:before="0" w:after="283"/>
              <w:jc w:val="left"/>
              <w:rPr/>
            </w:pPr>
            <w:r>
              <w:rPr/>
              <w:t> </w:t>
            </w:r>
          </w:p>
        </w:tc>
      </w:tr>
      <w:tr>
        <w:trPr/>
        <w:tc>
          <w:tcPr>
            <w:tcW w:w="45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pPr>
            <w:r>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Metrics</w:t>
            </w:r>
            <w:r>
              <w:rPr>
                <w:rFonts w:ascii="Times New Roman;Times;Serif" w:hAnsi="Times New Roman;Times;Serif"/>
                <w:b/>
                <w:i w:val="false"/>
                <w:caps w:val="false"/>
                <w:smallCaps w:val="false"/>
                <w:position w:val="7"/>
                <w:sz w:val="16"/>
                <w:sz w:val="20"/>
                <w:u w:val="single"/>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pPr>
            <w:r>
              <w:rPr/>
              <w:t> </w:t>
            </w:r>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36</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340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41</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38</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Income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350</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per Share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46</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r>
        <w:trPr/>
        <w:tc>
          <w:tcPr>
            <w:tcW w:w="4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39</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75</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caps w:val="false"/>
          <w:smallCaps w:val="false"/>
          <w:sz w:val="20"/>
        </w:rPr>
        <w:t xml:space="preserve"> For more information, see “Non-GAAP Financial Measures” and the schedules to this release.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Activity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acquisition of CAM on April 6, 2026 for approximately $1.8 billion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down the Company's $186 million Japanese Yen-denominated term loan facility and entered into a separate $300 million cross-currency swap, reducing annualized interest expense by $12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Increased the third quarter common stock dividend </w:t>
            </w:r>
            <w:r>
              <w:rPr>
                <w:rFonts w:ascii="Times New Roman;Times;Serif" w:hAnsi="Times New Roman;Times;Serif"/>
                <w:b w:val="false"/>
                <w:i w:val="false"/>
                <w:caps w:val="false"/>
                <w:smallCaps w:val="false"/>
                <w:sz w:val="20"/>
                <w:shd w:fill="FFFFFF" w:val="clear"/>
              </w:rPr>
              <w:t>by 17% to $0.14 per s</w:t>
            </w:r>
            <w:r>
              <w:rPr>
                <w:rFonts w:ascii="Times New Roman;Times;Serif" w:hAnsi="Times New Roman;Times;Serif"/>
                <w:b w:val="false"/>
                <w:i w:val="false"/>
                <w:caps w:val="false"/>
                <w:smallCaps w:val="false"/>
                <w:sz w:val="20"/>
              </w:rPr>
              <w:t>hare</w:t>
            </w:r>
          </w:p>
        </w:tc>
      </w:tr>
    </w:tbl>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PITTSBURGH, PA, August 6, 2026 –</w:t>
      </w:r>
      <w:r>
        <w:rPr>
          <w:rFonts w:ascii="Times New Roman;Times;Serif" w:hAnsi="Times New Roman;Times;Serif"/>
          <w:b w:val="false"/>
          <w:i w:val="false"/>
          <w:caps w:val="false"/>
          <w:smallCaps w:val="false"/>
          <w:sz w:val="20"/>
        </w:rPr>
        <w:t xml:space="preserve"> Howmet Aerospace (NYSE: HWM) announced results today for the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Howmet Aerospace Executive Chairman and Chief Executive Officer John Plant said, “The Howmet team delivered a strong set of results, with revenue, adjusted EBITDA, adjusted EBITDA margin, and adjusted earnings per share all exceeding the high end of guidance. Revenue growth was healthy at 24% year over year and 21% excluding the net impact of the three asset transactions completed this year. Adjusted EBITDA margin expanded 340 basis points year over year to 32.1%, including the absorption of the CAM fastener acquisition in April. Free cash flow performance was excellent at $479 million after $104 million in capital expenditures, supporting the future growth rate of the Company. The free cash flow also enabled $800 million in common stock repurchases year to date through July, an amount already greater than total repurchases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Plant continued, “Looking ahead, Howmet is well positioned, with all our major markets in growth mode. More robust build rates for commercial aircraft are supported by record backlogs, while engine spares needs continue to increase. Defense markets remain healthy, and the focus for missiles, drones and collaborative combat aircraft continues with growth expected over the medium term. Demand in the gas turbines market is </w:t>
      </w:r>
      <w:r>
        <w:rPr>
          <w:rFonts w:ascii="Times New Roman;Times;Serif" w:hAnsi="Times New Roman;Times;Serif"/>
          <w:b w:val="false"/>
          <w:i w:val="false"/>
          <w:caps w:val="false"/>
          <w:smallCaps w:val="false"/>
          <w:sz w:val="20"/>
          <w:shd w:fill="FFFFFF" w:val="clear"/>
        </w:rPr>
        <w:t>extraordinary with customers already revisiting and adding to their demand outlooks</w:t>
      </w:r>
      <w:r>
        <w:rPr>
          <w:rFonts w:ascii="Times New Roman;Times;Serif" w:hAnsi="Times New Roman;Times;Serif"/>
          <w:b w:val="false"/>
          <w:i w:val="false"/>
          <w:caps w:val="false"/>
          <w:smallCaps w:val="false"/>
          <w:sz w:val="20"/>
        </w:rPr>
        <w:t>. The commercial transportation market has begun to recover, as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 requirements continue to increase, and we already see the need to increase this further in 2027 to support future organic growth expectations in both the aerospace and gas turbines markets. We closed the CAM acquisition in April, and the integration is on track. Continued healthy cash generation will allow us to achieve pre-CAM leverage levels in short order, with the Company well positioned to consider all paths of capital deployment optionality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2026 Guidance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4299"/>
        <w:gridCol w:w="60"/>
        <w:gridCol w:w="125"/>
        <w:gridCol w:w="485"/>
        <w:gridCol w:w="185"/>
        <w:gridCol w:w="60"/>
        <w:gridCol w:w="151"/>
        <w:gridCol w:w="589"/>
        <w:gridCol w:w="185"/>
        <w:gridCol w:w="60"/>
        <w:gridCol w:w="125"/>
        <w:gridCol w:w="485"/>
        <w:gridCol w:w="185"/>
        <w:gridCol w:w="60"/>
        <w:gridCol w:w="125"/>
        <w:gridCol w:w="766"/>
        <w:gridCol w:w="185"/>
        <w:gridCol w:w="60"/>
        <w:gridCol w:w="125"/>
        <w:gridCol w:w="729"/>
        <w:gridCol w:w="185"/>
        <w:gridCol w:w="60"/>
        <w:gridCol w:w="125"/>
        <w:gridCol w:w="590"/>
        <w:gridCol w:w="201"/>
      </w:tblGrid>
      <w:tr>
        <w:trPr/>
        <w:tc>
          <w:tcPr>
            <w:tcW w:w="429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2026 Guidance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 2026 Guidance</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Millions; Per share amounts in dollars, diluted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Baseline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Baseline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10,100</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Baseline</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 EBITDA</w:t>
            </w:r>
            <w:r>
              <w:rPr>
                <w:rFonts w:ascii="Times New Roman;Times;Serif" w:hAnsi="Times New Roman;Times;Serif"/>
                <w:b/>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3,250</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 EBITDA Margin</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32.2</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4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Baseline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+$170 </w:t>
            </w:r>
            <w:r>
              <w:rPr>
                <w:rFonts w:ascii="Times New Roman;Times;Serif" w:hAnsi="Times New Roman;Times;Serif"/>
                <w:b w:val="false"/>
                <w:i w:val="false"/>
                <w:caps w:val="false"/>
                <w:smallCaps w:val="false"/>
                <w:sz w:val="20"/>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+ 40 bps</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 Earnings per Share</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Baseline</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+$0.33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1,950</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Baseline</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6"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Reconciliations of the forward-looking non-GAAP financial measures to the most directly comparable GAAP financial measures, as well as the directly comparable GAAP measures, are not available without unreasonable efforts due to the variability and complexity of the charges and other components excluded from the non-GAAP measures, such as gains or losses on sales of assets, taxes, and any future restructuring or impairment charges. In addition, there is inherent variability already included in the GAAP measures, including, but not limited to, price/mix and volume. Howmet Aerospace believes such reconciliations would imply a degree of precision that would be confusing or misleading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Howmet Aerospace reported second quarter 2026 revenue of $2.55 billion, up 24% year ov</w:t>
      </w:r>
      <w:r>
        <w:rPr>
          <w:rFonts w:ascii="Times New Roman;Times;Serif" w:hAnsi="Times New Roman;Times;Serif"/>
          <w:b w:val="false"/>
          <w:i w:val="false"/>
          <w:caps w:val="false"/>
          <w:smallCaps w:val="false"/>
          <w:sz w:val="20"/>
          <w:shd w:fill="FFFFFF" w:val="clear"/>
        </w:rPr>
        <w:t>er year with organic growth of 21%, and Adjusted EPS of $1.33, up 46% year over year. Revenue was driv</w:t>
      </w:r>
      <w:r>
        <w:rPr>
          <w:rFonts w:ascii="Times New Roman;Times;Serif" w:hAnsi="Times New Roman;Times;Serif"/>
          <w:b w:val="false"/>
          <w:i w:val="false"/>
          <w:caps w:val="false"/>
          <w:smallCaps w:val="false"/>
          <w:sz w:val="20"/>
        </w:rPr>
        <w:t>en by 28% growth in the commercial aerospace market, 11% growth in the defense aerospace market and 38% growth in the gas turbines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reported adjusted EBITDA of $817 million, up 39% year over year. The year-over-year increase was </w:t>
      </w:r>
      <w:r>
        <w:rPr>
          <w:rFonts w:ascii="Times New Roman;Times;Serif" w:hAnsi="Times New Roman;Times;Serif"/>
          <w:b w:val="false"/>
          <w:i w:val="false"/>
          <w:caps w:val="false"/>
          <w:smallCaps w:val="false"/>
          <w:sz w:val="20"/>
          <w:shd w:fill="FFFFFF" w:val="clear"/>
        </w:rPr>
        <w:t>driven by strong growth in the commercial aerospace, defense aerospace, and gas turbines markets. Adj</w:t>
      </w:r>
      <w:r>
        <w:rPr>
          <w:rFonts w:ascii="Times New Roman;Times;Serif" w:hAnsi="Times New Roman;Times;Serif"/>
          <w:b w:val="false"/>
          <w:i w:val="false"/>
          <w:caps w:val="false"/>
          <w:smallCaps w:val="false"/>
          <w:sz w:val="20"/>
        </w:rPr>
        <w:t>usted EBITDA margin was up approximately 340 basis points year over year at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 Products</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3785"/>
        <w:gridCol w:w="60"/>
        <w:gridCol w:w="125"/>
        <w:gridCol w:w="485"/>
        <w:gridCol w:w="185"/>
        <w:gridCol w:w="60"/>
        <w:gridCol w:w="125"/>
        <w:gridCol w:w="485"/>
        <w:gridCol w:w="185"/>
        <w:gridCol w:w="60"/>
        <w:gridCol w:w="101"/>
        <w:gridCol w:w="564"/>
        <w:gridCol w:w="320"/>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6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32</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470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Engine Products reported second quarter 2026 revenue of </w:t>
      </w:r>
      <w:r>
        <w:rPr>
          <w:rFonts w:ascii="Times New Roman;Times;Serif" w:hAnsi="Times New Roman;Times;Serif"/>
          <w:b w:val="false"/>
          <w:i w:val="false"/>
          <w:caps w:val="false"/>
          <w:smallCaps w:val="false"/>
          <w:sz w:val="20"/>
          <w:shd w:fill="FFFFFF" w:val="clear"/>
        </w:rPr>
        <w:t>$1.37</w:t>
      </w:r>
      <w:r>
        <w:rPr>
          <w:rFonts w:ascii="Times New Roman;Times;Serif" w:hAnsi="Times New Roman;Times;Serif"/>
          <w:b w:val="false"/>
          <w:i w:val="false"/>
          <w:caps w:val="false"/>
          <w:smallCaps w:val="false"/>
          <w:sz w:val="20"/>
        </w:rPr>
        <w:t xml:space="preserve"> billion, an increase of 32% year over year, driven by growth in t</w:t>
      </w:r>
      <w:r>
        <w:rPr>
          <w:rFonts w:ascii="Times New Roman;Times;Serif" w:hAnsi="Times New Roman;Times;Serif"/>
          <w:b w:val="false"/>
          <w:i w:val="false"/>
          <w:caps w:val="false"/>
          <w:smallCaps w:val="false"/>
          <w:sz w:val="20"/>
          <w:shd w:fill="FFFFFF" w:val="clear"/>
        </w:rPr>
        <w:t>he commercial aerospace, defense aerospace, and gas turbines markets. Segment Adjusted EBITDA was $517 million, up 51% year over year, driven by growth in the commercial aerospace, defense aerospace, and gas t</w:t>
      </w:r>
      <w:r>
        <w:rPr>
          <w:rFonts w:ascii="Times New Roman;Times;Serif" w:hAnsi="Times New Roman;Times;Serif"/>
          <w:b w:val="false"/>
          <w:i w:val="false"/>
          <w:caps w:val="false"/>
          <w:smallCaps w:val="false"/>
          <w:sz w:val="20"/>
        </w:rPr>
        <w:t>urbines markets. The Segment absorbed approximately 485 net headcount in the quarter in support of expected revenue increases. Segment Adjusted EBITDA margin increased approximately 470 basis points year over year to 37.7%.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Fastening Systems</w:t>
      </w:r>
    </w:p>
    <w:p>
      <w:pPr>
        <w:pStyle w:val="TextBody"/>
        <w:bidi w:val="0"/>
        <w:spacing w:before="0" w:after="0"/>
        <w:ind w:left="0" w:right="0" w:hanging="0"/>
        <w:jc w:val="left"/>
        <w:rPr>
          <w:caps w:val="false"/>
          <w:smallCaps w:val="false"/>
        </w:rPr>
      </w:pPr>
      <w:r>
        <w:rPr>
          <w:caps w:val="false"/>
          <w:smallCaps w:val="false"/>
        </w:rPr>
        <w:t> </w:t>
      </w:r>
    </w:p>
    <w:tbl>
      <w:tblPr>
        <w:tblW w:w="6426" w:type="dxa"/>
        <w:jc w:val="left"/>
        <w:tblInd w:w="0" w:type="dxa"/>
        <w:tblLayout w:type="fixed"/>
        <w:tblCellMar>
          <w:top w:w="0" w:type="dxa"/>
          <w:left w:w="0" w:type="dxa"/>
          <w:bottom w:w="0" w:type="dxa"/>
          <w:right w:w="0" w:type="dxa"/>
        </w:tblCellMar>
      </w:tblPr>
      <w:tblGrid>
        <w:gridCol w:w="3785"/>
        <w:gridCol w:w="60"/>
        <w:gridCol w:w="134"/>
        <w:gridCol w:w="410"/>
        <w:gridCol w:w="199"/>
        <w:gridCol w:w="64"/>
        <w:gridCol w:w="134"/>
        <w:gridCol w:w="410"/>
        <w:gridCol w:w="185"/>
        <w:gridCol w:w="60"/>
        <w:gridCol w:w="137"/>
        <w:gridCol w:w="528"/>
        <w:gridCol w:w="320"/>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37</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90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Fastening Systems repor</w:t>
      </w:r>
      <w:r>
        <w:rPr>
          <w:rFonts w:ascii="Times New Roman;Times;Serif" w:hAnsi="Times New Roman;Times;Serif"/>
          <w:b w:val="false"/>
          <w:i w:val="false"/>
          <w:caps w:val="false"/>
          <w:smallCaps w:val="false"/>
          <w:sz w:val="20"/>
          <w:shd w:fill="FFFFFF" w:val="clear"/>
        </w:rPr>
        <w:t xml:space="preserve">ted revenue of </w:t>
      </w:r>
      <w:r>
        <w:rPr>
          <w:rFonts w:ascii="Times New Roman;Times;Serif" w:hAnsi="Times New Roman;Times;Serif"/>
          <w:b w:val="false"/>
          <w:i w:val="false"/>
          <w:caps w:val="false"/>
          <w:smallCaps w:val="false"/>
          <w:sz w:val="20"/>
        </w:rPr>
        <w:t xml:space="preserve">$589 </w:t>
      </w:r>
      <w:r>
        <w:rPr>
          <w:rFonts w:ascii="Times New Roman;Times;Serif" w:hAnsi="Times New Roman;Times;Serif"/>
          <w:b w:val="false"/>
          <w:i w:val="false"/>
          <w:caps w:val="false"/>
          <w:smallCaps w:val="false"/>
          <w:sz w:val="20"/>
          <w:shd w:fill="FFFFFF" w:val="clear"/>
        </w:rPr>
        <w:t xml:space="preserve">million, an increase of 37% year over year, driven by growth in the commercial aerospace and defense aerospace markets. Revenue includes the impacts from the CAM and Brunner acquisitions. Segment Adjusted EBITDA was </w:t>
      </w:r>
      <w:r>
        <w:rPr>
          <w:rFonts w:ascii="Times New Roman;Times;Serif" w:hAnsi="Times New Roman;Times;Serif"/>
          <w:b w:val="false"/>
          <w:i w:val="false"/>
          <w:caps w:val="false"/>
          <w:smallCaps w:val="false"/>
          <w:sz w:val="20"/>
        </w:rPr>
        <w:t xml:space="preserve">$177 </w:t>
      </w:r>
      <w:r>
        <w:rPr>
          <w:rFonts w:ascii="Times New Roman;Times;Serif" w:hAnsi="Times New Roman;Times;Serif"/>
          <w:b w:val="false"/>
          <w:i w:val="false"/>
          <w:caps w:val="false"/>
          <w:smallCaps w:val="false"/>
          <w:sz w:val="20"/>
          <w:shd w:fill="FFFFFF" w:val="clear"/>
        </w:rPr>
        <w:t>million, up 40% year over year, driven by growth in the commercial aerospace and defense aerospace markets and including contributions from the acquisitions. Segm</w:t>
      </w:r>
      <w:r>
        <w:rPr>
          <w:rFonts w:ascii="Times New Roman;Times;Serif" w:hAnsi="Times New Roman;Times;Serif"/>
          <w:b w:val="false"/>
          <w:i w:val="false"/>
          <w:caps w:val="false"/>
          <w:smallCaps w:val="false"/>
          <w:sz w:val="20"/>
        </w:rPr>
        <w:t>ent Adjusted EBITDA margin increased approximately 90 basis points year over year to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Engineered Structures</w:t>
      </w:r>
    </w:p>
    <w:p>
      <w:pPr>
        <w:pStyle w:val="TextBody"/>
        <w:bidi w:val="0"/>
        <w:spacing w:before="0" w:after="0"/>
        <w:ind w:left="0" w:right="0" w:hanging="0"/>
        <w:jc w:val="left"/>
        <w:rPr>
          <w:caps w:val="false"/>
          <w:smallCaps w:val="false"/>
        </w:rPr>
      </w:pPr>
      <w:r>
        <w:rPr>
          <w:caps w:val="false"/>
          <w:smallCaps w:val="false"/>
        </w:rPr>
        <w:t> </w:t>
      </w:r>
    </w:p>
    <w:tbl>
      <w:tblPr>
        <w:tblW w:w="6426" w:type="dxa"/>
        <w:jc w:val="left"/>
        <w:tblInd w:w="0" w:type="dxa"/>
        <w:tblLayout w:type="fixed"/>
        <w:tblCellMar>
          <w:top w:w="0" w:type="dxa"/>
          <w:left w:w="0" w:type="dxa"/>
          <w:bottom w:w="0" w:type="dxa"/>
          <w:right w:w="0" w:type="dxa"/>
        </w:tblCellMar>
      </w:tblPr>
      <w:tblGrid>
        <w:gridCol w:w="3785"/>
        <w:gridCol w:w="60"/>
        <w:gridCol w:w="134"/>
        <w:gridCol w:w="410"/>
        <w:gridCol w:w="199"/>
        <w:gridCol w:w="64"/>
        <w:gridCol w:w="134"/>
        <w:gridCol w:w="410"/>
        <w:gridCol w:w="185"/>
        <w:gridCol w:w="60"/>
        <w:gridCol w:w="101"/>
        <w:gridCol w:w="564"/>
        <w:gridCol w:w="320"/>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(13</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170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Engineered Structures reported revenue of $269 million, a decrease of 13% year </w:t>
      </w:r>
      <w:r>
        <w:rPr>
          <w:rFonts w:ascii="Times New Roman;Times;Serif" w:hAnsi="Times New Roman;Times;Serif"/>
          <w:b w:val="false"/>
          <w:i w:val="false"/>
          <w:caps w:val="false"/>
          <w:smallCaps w:val="false"/>
          <w:sz w:val="20"/>
          <w:shd w:fill="FFFFFF" w:val="clear"/>
        </w:rPr>
        <w:t>over year, driven by the divestiture of the Savannah disk forging facility and product rationalization. Se</w:t>
      </w:r>
      <w:r>
        <w:rPr>
          <w:rFonts w:ascii="Times New Roman;Times;Serif" w:hAnsi="Times New Roman;Times;Serif"/>
          <w:b w:val="false"/>
          <w:i w:val="false"/>
          <w:caps w:val="false"/>
          <w:smallCaps w:val="false"/>
          <w:sz w:val="20"/>
        </w:rPr>
        <w:t>gment Adjusted EBITDA was $64 million, a decrease of 6% year over year on the exit of lower-margin business including the divestiture</w:t>
      </w:r>
      <w:r>
        <w:rPr>
          <w:rFonts w:ascii="Times New Roman;Times;Serif" w:hAnsi="Times New Roman;Times;Serif"/>
          <w:b w:val="false"/>
          <w:i w:val="false"/>
          <w:caps w:val="false"/>
          <w:smallCaps w:val="false"/>
          <w:sz w:val="20"/>
          <w:shd w:fill="FFFFFF" w:val="clear"/>
        </w:rPr>
        <w:t>. Se</w:t>
      </w:r>
      <w:r>
        <w:rPr>
          <w:rFonts w:ascii="Times New Roman;Times;Serif" w:hAnsi="Times New Roman;Times;Serif"/>
          <w:b w:val="false"/>
          <w:i w:val="false"/>
          <w:caps w:val="false"/>
          <w:smallCaps w:val="false"/>
          <w:sz w:val="20"/>
        </w:rPr>
        <w:t>gment Adjusted EBITDA margin increased approximately 170 basis points year over year to 23.8%.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Forged Wheels</w:t>
      </w:r>
    </w:p>
    <w:p>
      <w:pPr>
        <w:pStyle w:val="TextBody"/>
        <w:bidi w:val="0"/>
        <w:spacing w:before="0" w:after="0"/>
        <w:ind w:left="0" w:right="0" w:hanging="0"/>
        <w:jc w:val="left"/>
        <w:rPr>
          <w:caps w:val="false"/>
          <w:smallCaps w:val="false"/>
        </w:rPr>
      </w:pPr>
      <w:r>
        <w:rPr>
          <w:caps w:val="false"/>
          <w:smallCaps w:val="false"/>
        </w:rPr>
        <w:t> </w:t>
      </w:r>
    </w:p>
    <w:tbl>
      <w:tblPr>
        <w:tblW w:w="6426" w:type="dxa"/>
        <w:jc w:val="left"/>
        <w:tblInd w:w="0" w:type="dxa"/>
        <w:tblLayout w:type="fixed"/>
        <w:tblCellMar>
          <w:top w:w="0" w:type="dxa"/>
          <w:left w:w="0" w:type="dxa"/>
          <w:bottom w:w="0" w:type="dxa"/>
          <w:right w:w="0" w:type="dxa"/>
        </w:tblCellMar>
      </w:tblPr>
      <w:tblGrid>
        <w:gridCol w:w="3785"/>
        <w:gridCol w:w="60"/>
        <w:gridCol w:w="134"/>
        <w:gridCol w:w="410"/>
        <w:gridCol w:w="199"/>
        <w:gridCol w:w="64"/>
        <w:gridCol w:w="134"/>
        <w:gridCol w:w="410"/>
        <w:gridCol w:w="185"/>
        <w:gridCol w:w="60"/>
        <w:gridCol w:w="137"/>
        <w:gridCol w:w="528"/>
        <w:gridCol w:w="320"/>
      </w:tblGrid>
      <w:tr>
        <w:trPr/>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in Millions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5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Third-party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16</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3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1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30</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bps</w:t>
            </w:r>
          </w:p>
        </w:tc>
      </w:tr>
      <w:tr>
        <w:trPr/>
        <w:tc>
          <w:tcPr>
            <w:tcW w:w="3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Forged Wheels reported revenue of $316 million, an increase of 14% year over year, with 8% lower volumes in the commercial </w:t>
      </w:r>
      <w:r>
        <w:rPr>
          <w:rFonts w:ascii="Times New Roman;Times;Serif" w:hAnsi="Times New Roman;Times;Serif"/>
          <w:b w:val="false"/>
          <w:i w:val="false"/>
          <w:caps w:val="false"/>
          <w:smallCaps w:val="false"/>
          <w:sz w:val="20"/>
          <w:shd w:fill="FFFFFF" w:val="clear"/>
        </w:rPr>
        <w:t>transportation market more than offset by an increase in aluminum and other inflationary cost pass through. Volumes increased 7% sequentially from the first quarter 2026, reflecting the beginning of the recovery of the North American commercial transportation market. Segm</w:t>
      </w:r>
      <w:r>
        <w:rPr>
          <w:rFonts w:ascii="Times New Roman;Times;Serif" w:hAnsi="Times New Roman;Times;Serif"/>
          <w:b w:val="false"/>
          <w:i w:val="false"/>
          <w:caps w:val="false"/>
          <w:smallCaps w:val="false"/>
          <w:sz w:val="20"/>
        </w:rPr>
        <w:t>ent Adjusted EBITDA was $88 million and increased 16% year over year, driven by cost reductions, including lower net headcount, in response to lower volumes. Segment Adjusted EBITDA margin increased approximately 30 basis points year over year to 27.8% despite the impact of higher aluminum cost pass through.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Completed Acquisition of CAM for Approximately $1.8 Billion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the Company completed the acquisition of Consolidated Aerospace Manufacturing, LLC (CAM) for approximately $1.8 billion from Stanley Black &amp; Decker, Inc. CAM is a leading global designer and manufacturer of precision fasteners, fluid fittings, and other complex, highly engineered products for demanding aerospace and defense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Actions in Second Quarter Reduce Annualized Interest Expense by Approximately $12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the Company repaid the outstanding principal amount of its Japanese Yen-denominated, senior unsecured term loan facility for approximately $186 million with cash on hand. The Company also entered into a cross-currency swap to synthetically convert the outstanding $300 million aggregate principal amount of its 6.75% Bonds due 2028 into a Japanese Yen liability for a fixed interest rate of approximately 3.88%. The combined effect of these debt actions will reduce annualized interest expense by $12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Repurchased $300 Million of Common Stock in Second Quarter 2026; $200 Million in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2026, Howmet Aerospace repurchased $300 million of common stock at an average price of $250.61 per share, retiring approximately 1.2 million shares. In July 2026, the Company repurchased an additional $20</w:t>
      </w:r>
      <w:r>
        <w:rPr>
          <w:rFonts w:ascii="Times New Roman;Times;Serif" w:hAnsi="Times New Roman;Times;Serif"/>
          <w:b w:val="false"/>
          <w:i w:val="false"/>
          <w:caps w:val="false"/>
          <w:smallCaps w:val="false"/>
          <w:sz w:val="20"/>
          <w:shd w:fill="FFFFFF" w:val="clear"/>
        </w:rPr>
        <w:t xml:space="preserve">0 million of common stock at an average price of $276.61 per share, retiring approximately 0.7 million shares. Year to date through July, the Company has repurchased $800 million of shares at an average price of $248.29 per share, exceeding the $700 million of shares repurchased in all of 2025. As of August 6, </w:t>
      </w:r>
      <w:r>
        <w:rPr>
          <w:rFonts w:ascii="Times New Roman;Times;Serif" w:hAnsi="Times New Roman;Times;Serif"/>
          <w:b w:val="false"/>
          <w:i w:val="false"/>
          <w:caps w:val="false"/>
          <w:smallCaps w:val="false"/>
          <w:sz w:val="20"/>
        </w:rPr>
        <w:t xml:space="preserve">2026, total share repurchase authorization available was </w:t>
      </w:r>
      <w:r>
        <w:rPr>
          <w:rFonts w:ascii="Times New Roman;Times;Serif" w:hAnsi="Times New Roman;Times;Serif"/>
          <w:b w:val="false"/>
          <w:i w:val="false"/>
          <w:caps w:val="false"/>
          <w:smallCaps w:val="false"/>
          <w:sz w:val="20"/>
          <w:shd w:fill="FFFFFF" w:val="clear"/>
        </w:rPr>
        <w:t>$697</w:t>
      </w:r>
      <w:r>
        <w:rPr>
          <w:rFonts w:ascii="Times New Roman;Times;Serif" w:hAnsi="Times New Roman;Times;Serif"/>
          <w:b w:val="false"/>
          <w:i w:val="false"/>
          <w:caps w:val="false"/>
          <w:smallCaps w:val="false"/>
          <w:sz w:val="20"/>
        </w:rPr>
        <w:t xml:space="preserve">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Common Stock Dividend Increas</w:t>
      </w:r>
      <w:r>
        <w:rPr>
          <w:rFonts w:ascii="Times New Roman;Times;Serif" w:hAnsi="Times New Roman;Times;Serif"/>
          <w:b/>
          <w:i w:val="false"/>
          <w:caps w:val="false"/>
          <w:smallCaps w:val="false"/>
          <w:sz w:val="20"/>
          <w:shd w:fill="FFFFFF" w:val="clear"/>
        </w:rPr>
        <w:t>es 17% to $0.14 Per Sh</w:t>
      </w:r>
      <w:r>
        <w:rPr>
          <w:rFonts w:ascii="Times New Roman;Times;Serif" w:hAnsi="Times New Roman;Times;Serif"/>
          <w:b/>
          <w:i w:val="false"/>
          <w:caps w:val="false"/>
          <w:smallCaps w:val="false"/>
          <w:sz w:val="20"/>
        </w:rPr>
        <w:t>are in Third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w:t>
      </w:r>
      <w:r>
        <w:rPr>
          <w:rFonts w:ascii="Times New Roman;Times;Serif" w:hAnsi="Times New Roman;Times;Serif"/>
          <w:b w:val="false"/>
          <w:i w:val="false"/>
          <w:caps w:val="false"/>
          <w:smallCaps w:val="false"/>
          <w:sz w:val="20"/>
          <w:shd w:fill="FFFFFF" w:val="clear"/>
        </w:rPr>
        <w:t>27</w:t>
      </w:r>
      <w:r>
        <w:rPr>
          <w:rFonts w:ascii="Times New Roman;Times;Serif" w:hAnsi="Times New Roman;Times;Serif"/>
          <w:b w:val="false"/>
          <w:i w:val="false"/>
          <w:caps w:val="false"/>
          <w:smallCaps w:val="false"/>
          <w:sz w:val="20"/>
        </w:rPr>
        <w:t>, 2026, the Board of Directors declared a dividend o</w:t>
      </w:r>
      <w:r>
        <w:rPr>
          <w:rFonts w:ascii="Times New Roman;Times;Serif" w:hAnsi="Times New Roman;Times;Serif"/>
          <w:b w:val="false"/>
          <w:i w:val="false"/>
          <w:caps w:val="false"/>
          <w:smallCaps w:val="false"/>
          <w:sz w:val="20"/>
          <w:shd w:fill="FFFFFF" w:val="clear"/>
        </w:rPr>
        <w:t>f $0.14 pe</w:t>
      </w:r>
      <w:r>
        <w:rPr>
          <w:rFonts w:ascii="Times New Roman;Times;Serif" w:hAnsi="Times New Roman;Times;Serif"/>
          <w:b w:val="false"/>
          <w:i w:val="false"/>
          <w:caps w:val="false"/>
          <w:smallCaps w:val="false"/>
          <w:sz w:val="20"/>
        </w:rPr>
        <w:t xml:space="preserve">r share on its common stock to be paid on August </w:t>
      </w:r>
      <w:r>
        <w:rPr>
          <w:rFonts w:ascii="Times New Roman;Times;Serif" w:hAnsi="Times New Roman;Times;Serif"/>
          <w:b w:val="false"/>
          <w:i w:val="false"/>
          <w:caps w:val="false"/>
          <w:smallCaps w:val="false"/>
          <w:sz w:val="20"/>
          <w:shd w:fill="FFFFFF" w:val="clear"/>
        </w:rPr>
        <w:t>25</w:t>
      </w:r>
      <w:r>
        <w:rPr>
          <w:rFonts w:ascii="Times New Roman;Times;Serif" w:hAnsi="Times New Roman;Times;Serif"/>
          <w:b w:val="false"/>
          <w:i w:val="false"/>
          <w:caps w:val="false"/>
          <w:smallCaps w:val="false"/>
          <w:sz w:val="20"/>
        </w:rPr>
        <w:t xml:space="preserve">, 2026 to holders of record as of the close of business on August </w:t>
      </w:r>
      <w:r>
        <w:rPr>
          <w:rFonts w:ascii="Times New Roman;Times;Serif" w:hAnsi="Times New Roman;Times;Serif"/>
          <w:b w:val="false"/>
          <w:i w:val="false"/>
          <w:caps w:val="false"/>
          <w:smallCaps w:val="false"/>
          <w:sz w:val="20"/>
          <w:shd w:fill="FFFFFF" w:val="clear"/>
        </w:rPr>
        <w:t>7</w:t>
      </w:r>
      <w:r>
        <w:rPr>
          <w:rFonts w:ascii="Times New Roman;Times;Serif" w:hAnsi="Times New Roman;Times;Serif"/>
          <w:b w:val="false"/>
          <w:i w:val="false"/>
          <w:caps w:val="false"/>
          <w:smallCaps w:val="false"/>
          <w:sz w:val="20"/>
        </w:rPr>
        <w:t xml:space="preserve">, 2026. The quarterly dividend represents </w:t>
      </w:r>
      <w:r>
        <w:rPr>
          <w:rFonts w:ascii="Times New Roman;Times;Serif" w:hAnsi="Times New Roman;Times;Serif"/>
          <w:b w:val="false"/>
          <w:i w:val="false"/>
          <w:caps w:val="false"/>
          <w:smallCaps w:val="false"/>
          <w:sz w:val="20"/>
          <w:shd w:fill="FFFFFF" w:val="clear"/>
        </w:rPr>
        <w:t>a 17% inc</w:t>
      </w:r>
      <w:r>
        <w:rPr>
          <w:rFonts w:ascii="Times New Roman;Times;Serif" w:hAnsi="Times New Roman;Times;Serif"/>
          <w:b w:val="false"/>
          <w:i w:val="false"/>
          <w:caps w:val="false"/>
          <w:smallCaps w:val="false"/>
          <w:sz w:val="20"/>
        </w:rPr>
        <w:t>rease from the second quarter 2026 dividend of $0.12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Howmet Aerospace will hold its quarterly conference call at 10:00 AM Eastern Time on Thursday, August 6, 2026. The call will be webcast via www.howmet.com. The press release and presentation materials will be available at approximately 7:00 AM ET on August 6, via the “Investors” section of the Howmet Aerospace website.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Howmet Aerospace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Howmet Aerospace Inc., headquartered in Pittsburgh, Pennsylvania, is a leading global provider of advanced engineered solutions for the aerospace, gas turbine, and transportation industries. The Company’s primary businesses focus on engine components, fastening systems, and airframe structural components necessary for mission-critical performance and efficiency, including in aerospace, defense, and gas turbine applications, as well as forged aluminum wheels for commercial transportation. With approximately 1,200 granted and pending patents, the Company’s differentiated technologies enable lighter, more fuel-efficient aircraft and commercial trucks to operate with a lower carbon footprint. For more information, visit www.howmet.com.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Dissemination of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Howmet Aerospace intends to make future announcements regarding Company developments and financial performance through its website at www.howmet.com.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contains statements that relate to future events and expectations and as such constitute forward-looking statements within the meaning of the Private Securities Litigation Reform Act of 1995. Forward-looking statements include those containing such words as "anticipates," "believes," "could," “envisions,” "estimates," "expects," "forecasts," "goal," "guidance," "intends," "may," "outlook," "plans," “poised,” "projects," "seeks," "sees," "should," "targets," "will," "would," or other words of similar meaning. All statements that reflect Howmet Aerospace’s expectations, assumptions or projections about the future, other than statements of historical fact, are forward-looking statements, including, without limitation, statements, forecasts and outlook relating to the condition of markets; future financial results or operating performance; future strategic actions; Howmet Aerospace's strategies, outlook, and business and financial prospects; any future dividends, debt issuances, debt reduction and repurchases of its common stock; and statements regarding any acquisitions, including expected benefits. These statements reflect beliefs and assumptions that are based on Howmet Aerospace’s perception of historical trends, current conditions and expected future developments, as well as other factors Howmet Aerospace believes are appropriate in the circumstances. Forward-looking statements are not guarantees of future performance and are subject to risks, uncertainties and changes in circumstances that are difficult to predict, which could cause actual results to differ materially from those indicated by these statements. Such risks and uncertainties include, but are not limited to: (a) deterioration in global economic and financial market conditions generally, or unfavorable changes in the markets served by Howmet Aerospace, including due to escalating tariff and other trade policies and energy costs, and the resulting impacts on Howmet Aerospace’s supply and distribution chains, as well as on market volatility and global trade generally; (b) the impact of potential cyber attacks and information technology or data security breaches; (c) the loss of significant customers or adverse changes in customers’ business or financial conditions; (d) manufacturing difficulties or other issues that impact product performance, quality or safety; (e) inability of suppliers to meet obligations due to supply chain disruptions or otherwise; (f) failure to attract and retain a qualified workforce and key personnel, labor disputes or other employee relations issues; (g) the inability to achieve anticipated or targeted financial performance, operations or competitiveness, or realization of expected benefits from acquisitions, including the effective integration of acquired businesses; (h) inability to meet increased demand, production targets or commitments; (i) competition from new product offerings, disruptive technologies or other developments; (j) geopolitical, economic, and regulatory risks relating to Howmet Aerospace’s global operations, including geopolitical and diplomatic tensions, instabilities, conflicts and wars, as well as compliance with U.S. and foreign trade and tax laws, sanctions, embargoes and other regulations; (k) the outcome of contingencies, including legal proceedings, government or regulatory investigations, and environmental remediation; (l) failure to comply with government contracting regulations; (m) adverse changes in discount rates or investment returns on pension assets; and (n) the other risk factors summarized in Howmet Aerospace’s Form 10-K for the year ended December 31, 2025 and other reports filed with the U.S. Securities and Exchange Commission. Market projections are subject to the risks discussed above and other risks in the market. Under its share repurchase program, the Company may repurchase shares from time to time, in amounts, at prices, and at such times as the Company deems appropriate, subject to market conditions, legal requirements and other considerations. The Company is not obligated to repurchase any specific number of shares or to do so at any particular time. The declaration of any future dividends is subject to the discretion and approval of the Board of Directors after the Board’s consideration of all factors it deems relevant and subject to applicable law. The Company may modify, suspend, or cancel its share repurchase program or any dividend policy in any manner and at any time that it may deem necessary or appropriate. Credit ratings are not a recommendation to buy or hold any Howmet Aerospace securities, and they may be revised or revoked at any time at the sole discretion of the credit rating organizations. The statements in this release are made as of the date of this release, even if subsequently made available by Howmet Aerospace on its website or otherwise. Howmet Aerospace disclaims any intention or obligation to update publicly any forward-looking statements, whether in response to new information, future events,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information included in this release is derived from Howmet Aerospace’s consolidated financial information but is not presented in Howmet Aerospace’s financial statements prepared in accordance with accounting principles generally accepted in the United States of America (GAAP). Certain of these data are considered “non-GAAP financial measures” under SEC rules. These non-GAAP financial measures supplement our GAAP disclosures and should not be considered an alternative to the GAAP measure. Reconciliations to the most directly comparable GAAP financial measures and management’s rationale for the use of the non-GAAP financial measures can be found in the schedules to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defined as Operating Income excluding Restructuring and other (credits) charges, Special Items and provision for depreciation and amortization.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press release, the acronym “FY” means “full year”; “Q” means “quarter”; “YoY” means year over year; “Adj.” means adjusted; Howmet, Howmet Aerospace, or the Company means Howmet Aerospace Inc.; "organic growth" refers to the Company's revenue growth excluding the impact of acquisitions and divestitures; and references to performance by Howmet Aerospace or its segments as “record” mean its best result since April 1, 2020 when Howmet Aerospace Inc. (previously named Arconic Inc.) separated from Arconic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Consolidated Operations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 except per-share and share amounts)</w:t>
      </w:r>
    </w:p>
    <w:p>
      <w:pPr>
        <w:pStyle w:val="TextBody"/>
        <w:bidi w:val="0"/>
        <w:spacing w:before="0" w:after="0"/>
        <w:ind w:left="0" w:right="0" w:hanging="0"/>
        <w:jc w:val="left"/>
        <w:rPr>
          <w:caps w:val="false"/>
          <w:smallCaps w:val="false"/>
        </w:rPr>
      </w:pPr>
      <w:r>
        <w:rPr>
          <w:caps w:val="false"/>
          <w:smallCaps w:val="false"/>
        </w:rPr>
        <w:t> </w:t>
      </w:r>
    </w:p>
    <w:tbl>
      <w:tblPr>
        <w:tblW w:w="9937" w:type="dxa"/>
        <w:jc w:val="left"/>
        <w:tblInd w:w="0" w:type="dxa"/>
        <w:tblLayout w:type="fixed"/>
        <w:tblCellMar>
          <w:top w:w="0" w:type="dxa"/>
          <w:left w:w="0" w:type="dxa"/>
          <w:bottom w:w="0" w:type="dxa"/>
          <w:right w:w="0" w:type="dxa"/>
        </w:tblCellMar>
      </w:tblPr>
      <w:tblGrid>
        <w:gridCol w:w="5810"/>
        <w:gridCol w:w="60"/>
        <w:gridCol w:w="243"/>
        <w:gridCol w:w="946"/>
        <w:gridCol w:w="60"/>
        <w:gridCol w:w="60"/>
        <w:gridCol w:w="277"/>
        <w:gridCol w:w="1077"/>
        <w:gridCol w:w="80"/>
        <w:gridCol w:w="60"/>
        <w:gridCol w:w="243"/>
        <w:gridCol w:w="946"/>
        <w:gridCol w:w="75"/>
      </w:tblGrid>
      <w:tr>
        <w:trPr/>
        <w:tc>
          <w:tcPr>
            <w:tcW w:w="5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99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goods sold (exclusive of expenses below)</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administrative, and other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Attributable to Howmet Aerospace Common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 basic</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number of shares</w:t>
            </w:r>
            <w:r>
              <w:rPr>
                <w:rFonts w:ascii="Times New Roman;Times;Serif" w:hAnsi="Times New Roman;Times;Serif"/>
                <w:b w:val="false"/>
                <w:i w:val="false"/>
                <w:caps w:val="false"/>
                <w:smallCaps w:val="false"/>
                <w:position w:val="7"/>
                <w:sz w:val="16"/>
                <w:sz w:val="20"/>
              </w:rPr>
              <w:t>(2)(3)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 diluted</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number of shares</w:t>
            </w:r>
            <w:r>
              <w:rPr>
                <w:rFonts w:ascii="Times New Roman;Times;Serif" w:hAnsi="Times New Roman;Times;Serif"/>
                <w:b w:val="false"/>
                <w:i w:val="false"/>
                <w:caps w:val="false"/>
                <w:smallCaps w:val="false"/>
                <w:position w:val="7"/>
                <w:sz w:val="16"/>
                <w:sz w:val="20"/>
              </w:rPr>
              <w:t>(2)(3)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calculate both basic and diluted earnings per share through December 31, 2025, preferred stock dividends declared of less than $1 for the quarters presented need to be subtracted from Net income.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quarters presented, the difference between the diluted average number of shares and the basic average number of shares relates to share equivalents associated with outstanding restricted stock unit awards and employee stock options.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average shares outstanding are used in the calculation of both basic and diluted earnings per share, the full impact of share repurchases is not fully realized in earnings per share ("EPS") in the period of repurchase since share repurchases may occur at varying points during a period.</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w:t>
      </w:r>
    </w:p>
    <w:p>
      <w:pPr>
        <w:pStyle w:val="TextBody"/>
        <w:bidi w:val="0"/>
        <w:spacing w:before="0" w:after="0"/>
        <w:ind w:left="0" w:right="0" w:hanging="0"/>
        <w:jc w:val="left"/>
        <w:rPr>
          <w:caps w:val="false"/>
          <w:smallCaps w:val="false"/>
        </w:rPr>
      </w:pPr>
      <w:r>
        <w:rPr>
          <w:caps w:val="false"/>
          <w:smallCaps w:val="false"/>
        </w:rPr>
        <w:t> </w:t>
      </w:r>
    </w:p>
    <w:tbl>
      <w:tblPr>
        <w:tblW w:w="9218" w:type="dxa"/>
        <w:jc w:val="left"/>
        <w:tblInd w:w="0" w:type="dxa"/>
        <w:tblLayout w:type="fixed"/>
        <w:tblCellMar>
          <w:top w:w="0" w:type="dxa"/>
          <w:left w:w="0" w:type="dxa"/>
          <w:bottom w:w="0" w:type="dxa"/>
          <w:right w:w="0" w:type="dxa"/>
        </w:tblCellMar>
      </w:tblPr>
      <w:tblGrid>
        <w:gridCol w:w="6095"/>
        <w:gridCol w:w="60"/>
        <w:gridCol w:w="208"/>
        <w:gridCol w:w="981"/>
        <w:gridCol w:w="80"/>
        <w:gridCol w:w="60"/>
        <w:gridCol w:w="284"/>
        <w:gridCol w:w="1355"/>
        <w:gridCol w:w="95"/>
      </w:tblGrid>
      <w:tr>
        <w:trPr/>
        <w:tc>
          <w:tcPr>
            <w:tcW w:w="6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customers, less allowances of $— in both 2026 and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Properties, plants,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trade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retirement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including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interest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due within one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less amount due within one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pension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other postretirement benefits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 and deferred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Howmet Aerospace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Consolidated Cash Flows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94"/>
        <w:gridCol w:w="60"/>
        <w:gridCol w:w="136"/>
        <w:gridCol w:w="596"/>
        <w:gridCol w:w="87"/>
        <w:gridCol w:w="65"/>
        <w:gridCol w:w="136"/>
        <w:gridCol w:w="432"/>
        <w:gridCol w:w="99"/>
      </w:tblGrid>
      <w:tr>
        <w:trPr/>
        <w:tc>
          <w:tcPr>
            <w:tcW w:w="85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2"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65" w:type="dxa"/>
            <w:tcBorders/>
            <w:vAlign w:val="center"/>
          </w:tcPr>
          <w:p>
            <w:pPr>
              <w:pStyle w:val="TableContents"/>
              <w:bidi w:val="0"/>
              <w:spacing w:before="0" w:after="283"/>
              <w:jc w:val="left"/>
              <w:rPr>
                <w:caps w:val="false"/>
                <w:smallCaps w:val="false"/>
              </w:rPr>
            </w:pPr>
            <w:r>
              <w:rPr>
                <w:caps w:val="false"/>
                <w:smallCaps w:val="false"/>
              </w:rPr>
              <w:t> </w:t>
            </w:r>
          </w:p>
        </w:tc>
        <w:tc>
          <w:tcPr>
            <w:tcW w:w="5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income to cash provided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and unrealized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periodic pension cost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 excluding effects of acquisitions, divestitures, and 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accounts payable, trade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 taxes, including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contributions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(decrease) in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provided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commercial paper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and payments on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paid for net share settlement of equity awards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provided from (used for)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net of cash acquired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(1,929</w:t>
            </w:r>
          </w:p>
        </w:tc>
        <w:tc>
          <w:tcPr>
            <w:tcW w:w="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the sale of assets and businesses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used for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5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85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Segment Information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w:t>
      </w:r>
    </w:p>
    <w:p>
      <w:pPr>
        <w:pStyle w:val="TextBody"/>
        <w:bidi w:val="0"/>
        <w:spacing w:before="0" w:after="0"/>
        <w:ind w:left="0" w:right="0" w:hanging="0"/>
        <w:jc w:val="left"/>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3575"/>
        <w:gridCol w:w="60"/>
        <w:gridCol w:w="125"/>
        <w:gridCol w:w="485"/>
        <w:gridCol w:w="185"/>
        <w:gridCol w:w="60"/>
        <w:gridCol w:w="125"/>
        <w:gridCol w:w="485"/>
        <w:gridCol w:w="185"/>
        <w:gridCol w:w="60"/>
        <w:gridCol w:w="125"/>
        <w:gridCol w:w="485"/>
        <w:gridCol w:w="185"/>
        <w:gridCol w:w="60"/>
        <w:gridCol w:w="125"/>
        <w:gridCol w:w="485"/>
        <w:gridCol w:w="185"/>
        <w:gridCol w:w="60"/>
        <w:gridCol w:w="125"/>
        <w:gridCol w:w="485"/>
        <w:gridCol w:w="185"/>
        <w:gridCol w:w="60"/>
        <w:gridCol w:w="125"/>
        <w:gridCol w:w="485"/>
        <w:gridCol w:w="185"/>
        <w:gridCol w:w="60"/>
        <w:gridCol w:w="125"/>
        <w:gridCol w:w="485"/>
        <w:gridCol w:w="200"/>
      </w:tblGrid>
      <w:tr>
        <w:trPr/>
        <w:tc>
          <w:tcPr>
            <w:tcW w:w="35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1Q25</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3Q25</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4Q25</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1Q26</w:t>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200" w:type="dxa"/>
            <w:tcBorders/>
            <w:shd w:fill="FFFFFF" w:val="clear"/>
            <w:vAlign w:val="center"/>
          </w:tcPr>
          <w:p>
            <w:pPr>
              <w:pStyle w:val="TableContents"/>
              <w:bidi w:val="0"/>
              <w:spacing w:before="0" w:after="283"/>
              <w:jc w:val="left"/>
              <w:rPr>
                <w:sz w:val="4"/>
                <w:szCs w:val="4"/>
              </w:rPr>
            </w:pPr>
            <w:r>
              <w:rPr>
                <w:sz w:val="4"/>
                <w:szCs w:val="4"/>
              </w:rPr>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 Products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Fastening Systems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Engineered Structures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Inter-segment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Forged Wheels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7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Differences between the total segment and consolidated totals are in Corporate.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Financial Measures (unaudited)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Total Segment Adjusted EBITDA to Consolidated Operating income</w:t>
      </w:r>
    </w:p>
    <w:p>
      <w:pPr>
        <w:pStyle w:val="TextBody"/>
        <w:bidi w:val="0"/>
        <w:spacing w:before="0" w:after="283"/>
        <w:jc w:val="left"/>
        <w:rPr/>
      </w:pPr>
      <w:r>
        <w:rPr/>
        <w:t> </w:t>
      </w:r>
    </w:p>
    <w:tbl>
      <w:tblPr>
        <w:tblW w:w="9490" w:type="dxa"/>
        <w:jc w:val="left"/>
        <w:tblInd w:w="0" w:type="dxa"/>
        <w:tblLayout w:type="fixed"/>
        <w:tblCellMar>
          <w:top w:w="0" w:type="dxa"/>
          <w:left w:w="0" w:type="dxa"/>
          <w:bottom w:w="0" w:type="dxa"/>
          <w:right w:w="0" w:type="dxa"/>
        </w:tblCellMar>
      </w:tblPr>
      <w:tblGrid>
        <w:gridCol w:w="4325"/>
        <w:gridCol w:w="60"/>
        <w:gridCol w:w="125"/>
        <w:gridCol w:w="485"/>
        <w:gridCol w:w="80"/>
        <w:gridCol w:w="60"/>
        <w:gridCol w:w="125"/>
        <w:gridCol w:w="485"/>
        <w:gridCol w:w="60"/>
        <w:gridCol w:w="60"/>
        <w:gridCol w:w="125"/>
        <w:gridCol w:w="485"/>
        <w:gridCol w:w="60"/>
        <w:gridCol w:w="60"/>
        <w:gridCol w:w="125"/>
        <w:gridCol w:w="485"/>
        <w:gridCol w:w="60"/>
        <w:gridCol w:w="60"/>
        <w:gridCol w:w="125"/>
        <w:gridCol w:w="485"/>
        <w:gridCol w:w="60"/>
        <w:gridCol w:w="60"/>
        <w:gridCol w:w="125"/>
        <w:gridCol w:w="485"/>
        <w:gridCol w:w="80"/>
        <w:gridCol w:w="60"/>
        <w:gridCol w:w="125"/>
        <w:gridCol w:w="485"/>
        <w:gridCol w:w="75"/>
      </w:tblGrid>
      <w:tr>
        <w:trPr/>
        <w:tc>
          <w:tcPr>
            <w:tcW w:w="43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1Q25</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3Q25</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4Q25</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1Q26</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Unallocated amounts: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expense</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Segment Adjusted EBITDA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Total</w:t>
      </w:r>
      <w:r>
        <w:rPr>
          <w:rFonts w:ascii="Times New Roman;Times;Serif" w:hAnsi="Times New Roman;Times;Serif"/>
          <w:b w:val="false"/>
          <w:i w:val="false"/>
          <w:caps w:val="false"/>
          <w:smallCaps w:val="false"/>
          <w:sz w:val="20"/>
        </w:rPr>
        <w:t xml:space="preserve"> Segment Adjusted EBITDA is a non-GAAP financial measure. Management believes that this measure is meaningful to investors because Total Segment Adjusted EBITDA provides additional information with respect to the Company's operating performance and the Company’s ability to meet its financial obligations. The Total Segment Adjusted EBITDA presented may not be comparable to similarly titled measures of other companies. Howmet’s definition of Total Segment Adjusted EBITDA is defined as Operating Income excluding Restructuring and other (credits) charges and Special items and Provision for depreciation and amortization. Special items, including Restructuring and other (credits) charges, are excluded from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position w:val="7"/>
          <w:sz w:val="16"/>
          <w:sz w:val="20"/>
        </w:rPr>
        <w:t xml:space="preserve">(1) </w:t>
      </w:r>
      <w:r>
        <w:rPr>
          <w:rFonts w:ascii="Times New Roman;Times;Serif" w:hAnsi="Times New Roman;Times;Serif"/>
          <w:b/>
          <w:i w:val="false"/>
          <w:caps w:val="false"/>
          <w:smallCaps w:val="false"/>
          <w:sz w:val="20"/>
        </w:rPr>
        <w:t>Pre-tax special items included in Corporate expense</w:t>
      </w:r>
      <w:r>
        <w:rPr>
          <w:rFonts w:ascii="Times New Roman;Times;Serif" w:hAnsi="Times New Roman;Times;Serif"/>
          <w:b w:val="false"/>
          <w:i w:val="false"/>
          <w:caps w:val="false"/>
          <w:smallCaps w:val="false"/>
          <w:sz w:val="2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105"/>
        <w:gridCol w:w="60"/>
        <w:gridCol w:w="125"/>
        <w:gridCol w:w="485"/>
        <w:gridCol w:w="60"/>
        <w:gridCol w:w="60"/>
        <w:gridCol w:w="125"/>
        <w:gridCol w:w="485"/>
        <w:gridCol w:w="80"/>
        <w:gridCol w:w="60"/>
        <w:gridCol w:w="125"/>
        <w:gridCol w:w="485"/>
        <w:gridCol w:w="60"/>
        <w:gridCol w:w="60"/>
        <w:gridCol w:w="125"/>
        <w:gridCol w:w="485"/>
        <w:gridCol w:w="60"/>
        <w:gridCol w:w="60"/>
        <w:gridCol w:w="125"/>
        <w:gridCol w:w="440"/>
        <w:gridCol w:w="60"/>
        <w:gridCol w:w="60"/>
        <w:gridCol w:w="125"/>
        <w:gridCol w:w="485"/>
        <w:gridCol w:w="60"/>
        <w:gridCol w:w="60"/>
        <w:gridCol w:w="125"/>
        <w:gridCol w:w="485"/>
        <w:gridCol w:w="75"/>
      </w:tblGrid>
      <w:tr>
        <w:trPr/>
        <w:tc>
          <w:tcPr>
            <w:tcW w:w="51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1Q25</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3Q25</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4Q25</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1Q26</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75" w:type="dxa"/>
            <w:tcBorders/>
            <w:shd w:fill="FFFFFF" w:val="clear"/>
            <w:vAlign w:val="center"/>
          </w:tcPr>
          <w:p>
            <w:pPr>
              <w:pStyle w:val="TableContents"/>
              <w:bidi w:val="0"/>
              <w:spacing w:before="0" w:after="283"/>
              <w:jc w:val="left"/>
              <w:rPr>
                <w:sz w:val="4"/>
                <w:szCs w:val="4"/>
              </w:rPr>
            </w:pPr>
            <w:r>
              <w:rPr>
                <w:sz w:val="4"/>
                <w:szCs w:val="4"/>
              </w:rPr>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acquisition-related costs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(benefits) associated with closures, supply chain disruptions, and other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Pre-tax special items included in Corporate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213" w:type="dxa"/>
        <w:jc w:val="left"/>
        <w:tblInd w:w="0" w:type="dxa"/>
        <w:tblLayout w:type="fixed"/>
        <w:tblCellMar>
          <w:top w:w="0" w:type="dxa"/>
          <w:left w:w="0" w:type="dxa"/>
          <w:bottom w:w="0" w:type="dxa"/>
          <w:right w:w="0" w:type="dxa"/>
        </w:tblCellMar>
      </w:tblPr>
      <w:tblGrid>
        <w:gridCol w:w="38"/>
        <w:gridCol w:w="23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$1 related to the CAM acquisition financing in 1Q26.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Financial Measures (unaudited),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Free cash flow</w:t>
      </w:r>
    </w:p>
    <w:p>
      <w:pPr>
        <w:pStyle w:val="TextBody"/>
        <w:bidi w:val="0"/>
        <w:spacing w:before="0" w:after="0"/>
        <w:ind w:left="0" w:right="0" w:hanging="0"/>
        <w:jc w:val="left"/>
        <w:rPr>
          <w:caps w:val="false"/>
          <w:smallCaps w:val="false"/>
        </w:rPr>
      </w:pPr>
      <w:r>
        <w:rPr>
          <w:caps w:val="false"/>
          <w:smallCaps w:val="false"/>
        </w:rPr>
        <w:t> </w:t>
      </w:r>
    </w:p>
    <w:tbl>
      <w:tblPr>
        <w:tblW w:w="7274" w:type="dxa"/>
        <w:jc w:val="left"/>
        <w:tblInd w:w="0" w:type="dxa"/>
        <w:tblLayout w:type="fixed"/>
        <w:tblCellMar>
          <w:top w:w="0" w:type="dxa"/>
          <w:left w:w="0" w:type="dxa"/>
          <w:bottom w:w="0" w:type="dxa"/>
          <w:right w:w="0" w:type="dxa"/>
        </w:tblCellMar>
      </w:tblPr>
      <w:tblGrid>
        <w:gridCol w:w="4070"/>
        <w:gridCol w:w="60"/>
        <w:gridCol w:w="125"/>
        <w:gridCol w:w="485"/>
        <w:gridCol w:w="80"/>
        <w:gridCol w:w="60"/>
        <w:gridCol w:w="125"/>
        <w:gridCol w:w="545"/>
        <w:gridCol w:w="80"/>
        <w:gridCol w:w="60"/>
        <w:gridCol w:w="277"/>
        <w:gridCol w:w="1212"/>
        <w:gridCol w:w="9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12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from (used for)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from (used for)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Receivable Securitization program remains unchanged at $250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is a non-GAAP financial measure. Management believes that this measure is meaningful to investors because management reviews cash flows generated from operations after taking into consideration capital expenditures (due to the fact that these expenditures are considered necessary to maintain and expand the Company's asset base and are expected to generate future cash flows from operations). It is important to note that Free cash flow does not represent the residual cash flow available for discretionary expenditures since other non-discretionary expenditures, such as mandatory debt service requirements, are not deducted from the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Financial Measures (unaudited),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 except per-share and share amounts)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Adjusted Net income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96"/>
        <w:gridCol w:w="60"/>
        <w:gridCol w:w="125"/>
        <w:gridCol w:w="380"/>
        <w:gridCol w:w="80"/>
        <w:gridCol w:w="60"/>
        <w:gridCol w:w="125"/>
        <w:gridCol w:w="380"/>
        <w:gridCol w:w="80"/>
        <w:gridCol w:w="60"/>
        <w:gridCol w:w="125"/>
        <w:gridCol w:w="380"/>
        <w:gridCol w:w="80"/>
        <w:gridCol w:w="60"/>
        <w:gridCol w:w="277"/>
        <w:gridCol w:w="845"/>
        <w:gridCol w:w="92"/>
        <w:gridCol w:w="69"/>
        <w:gridCol w:w="231"/>
        <w:gridCol w:w="901"/>
        <w:gridCol w:w="99"/>
      </w:tblGrid>
      <w:tr>
        <w:trPr/>
        <w:tc>
          <w:tcPr>
            <w:tcW w:w="56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1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751</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number of diluted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acquisition-related costs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associated with closures, supply chain disruptions, and other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 Pre-tax special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impact of Pre-tax special items</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Discrete and other tax special items</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After-tax special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Adjusted Net income and Adjusted EPS are non-GAAP financial measures. Management believes that these measures are meaningful to investors because management reviews the operating results of the Company excluding the impacts of Restructuring and other credits, Discrete tax items, and Other special items (collectively, “Special items”). There can be no assurances that additional Special items will not occur in future periods. To compensate for this limitation, management believes that it is appropriate to consider both Net income and Diluted EPS determined under GAAP as well as Adjusted Net income and Adjusted EPS.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 for the quarter ended 1Q26 and the six months ended June 30, 2026 included a gain on the sale of the Company's disk forging facility in Savannah, GA within Engineered Structures.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legal and advisory costs, amortization expense of inventory step-up recorded in accordance with purchase accounting, and other acquisition-related costs for CAM and Brunner. Additionally, interest expense of $1 related to the CAM acquisition financing in 1Q26.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9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impact of Pre-tax special items is based on the applicable statutory rates whereby the difference between such rates and the Company’s consolidated estimated annual effective tax rate is itself a Special item.</w:t>
            </w:r>
          </w:p>
        </w:tc>
      </w:tr>
    </w:tbl>
    <w:p>
      <w:pPr>
        <w:pStyle w:val="TextBody"/>
        <w:bidi w:val="0"/>
        <w:spacing w:before="0" w:after="0"/>
        <w:jc w:val="left"/>
        <w:rPr>
          <w:caps w:val="false"/>
          <w:smallCaps w:val="false"/>
        </w:rPr>
      </w:pPr>
      <w:r>
        <w:rPr>
          <w:caps w:val="false"/>
          <w:smallCaps w:val="false"/>
        </w:rPr>
        <w:t> </w:t>
      </w:r>
    </w:p>
    <w:tbl>
      <w:tblPr>
        <w:tblW w:w="4968" w:type="dxa"/>
        <w:jc w:val="left"/>
        <w:tblInd w:w="0" w:type="dxa"/>
        <w:tblLayout w:type="fixed"/>
        <w:tblCellMar>
          <w:top w:w="0" w:type="dxa"/>
          <w:left w:w="0" w:type="dxa"/>
          <w:bottom w:w="0" w:type="dxa"/>
          <w:right w:w="0" w:type="dxa"/>
        </w:tblCellMar>
      </w:tblPr>
      <w:tblGrid>
        <w:gridCol w:w="38"/>
        <w:gridCol w:w="23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(4)</w:t>
            </w:r>
          </w:p>
        </w:tc>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Discrete tax items for each period included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2Q25, benefits related to U.S. accounting method changes for certain prior period transaction and other costs ($17), an excess benefit for stock compensation ($13), and a net benefit related to U.S. federal and state research and development ("R&amp;D") credits claimed for prior years ($5).</w:t>
            </w:r>
          </w:p>
        </w:tc>
      </w:tr>
    </w:tbl>
    <w:p>
      <w:pPr>
        <w:pStyle w:val="TextBody"/>
        <w:bidi w:val="0"/>
        <w:spacing w:before="0" w:after="283"/>
        <w:jc w:val="left"/>
        <w:rPr/>
      </w:pPr>
      <w:r>
        <w:rPr/>
        <w:t> </w:t>
      </w:r>
    </w:p>
    <w:tbl>
      <w:tblPr>
        <w:tblW w:w="4848" w:type="dxa"/>
        <w:jc w:val="left"/>
        <w:tblInd w:w="0" w:type="dxa"/>
        <w:tblLayout w:type="fixed"/>
        <w:tblCellMar>
          <w:top w:w="0" w:type="dxa"/>
          <w:left w:w="0" w:type="dxa"/>
          <w:bottom w:w="0" w:type="dxa"/>
          <w:right w:w="0" w:type="dxa"/>
        </w:tblCellMar>
      </w:tblPr>
      <w:tblGrid>
        <w:gridCol w:w="38"/>
        <w:gridCol w:w="110"/>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1Q26, an excess benefit for stock compensation ($21);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2Q26, a benefit to release a valuation allowance related to U.S. foreign tax credits ($22), a benefit to release a valuation allowance related to U.S. state tax losses ($10), a benefit to release a tax reserve in Germany ($3), an excess benefit for stock compensation ($1), and a charge to establish an international withholding tax reserve $16;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2Q25, benefits related to U.S. accounting method changes for certain prior period transaction and other costs ($17), an excess benefit for stock compensation ($14), a net benefit related to U.S. federal and state R&amp;D credits claimed for prior years ($5), a net charge related to the expiration of a tax holiday in China $6, a charge for a tax reserve established in Germany $2, and a net charge for other small items $2;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2Q26, a benefit to release a valuation allowance related to U.S. foreign tax credits ($22), an excess benefit for stock compensation ($22), a benefit to release a valuation allowance related to U.S. state tax losses ($10), a benefit to release a tax reserve in Germany ($3), and a charge to establish an international withholding tax reserve $16.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Financial Measures (unaudited),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Operational tax rate</w:t>
      </w:r>
    </w:p>
    <w:p>
      <w:pPr>
        <w:pStyle w:val="TextBody"/>
        <w:bidi w:val="0"/>
        <w:spacing w:before="0" w:after="0"/>
        <w:ind w:left="0" w:right="0" w:hanging="0"/>
        <w:jc w:val="left"/>
        <w:rPr>
          <w:caps w:val="false"/>
          <w:smallCaps w:val="false"/>
        </w:rPr>
      </w:pPr>
      <w:r>
        <w:rPr>
          <w:caps w:val="false"/>
          <w:smallCaps w:val="false"/>
        </w:rPr>
        <w:t> </w:t>
      </w:r>
    </w:p>
    <w:tbl>
      <w:tblPr>
        <w:tblW w:w="9324" w:type="dxa"/>
        <w:jc w:val="left"/>
        <w:tblInd w:w="0" w:type="dxa"/>
        <w:tblLayout w:type="fixed"/>
        <w:tblCellMar>
          <w:top w:w="0" w:type="dxa"/>
          <w:left w:w="0" w:type="dxa"/>
          <w:bottom w:w="0" w:type="dxa"/>
          <w:right w:w="0" w:type="dxa"/>
        </w:tblCellMar>
      </w:tblPr>
      <w:tblGrid>
        <w:gridCol w:w="2300"/>
        <w:gridCol w:w="60"/>
        <w:gridCol w:w="241"/>
        <w:gridCol w:w="738"/>
        <w:gridCol w:w="185"/>
        <w:gridCol w:w="60"/>
        <w:gridCol w:w="312"/>
        <w:gridCol w:w="577"/>
        <w:gridCol w:w="60"/>
        <w:gridCol w:w="60"/>
        <w:gridCol w:w="272"/>
        <w:gridCol w:w="827"/>
        <w:gridCol w:w="185"/>
        <w:gridCol w:w="60"/>
        <w:gridCol w:w="166"/>
        <w:gridCol w:w="648"/>
        <w:gridCol w:w="185"/>
        <w:gridCol w:w="60"/>
        <w:gridCol w:w="267"/>
        <w:gridCol w:w="622"/>
        <w:gridCol w:w="80"/>
        <w:gridCol w:w="60"/>
        <w:gridCol w:w="225"/>
        <w:gridCol w:w="874"/>
        <w:gridCol w:w="200"/>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3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Effective </w:t>
              <w:br/>
              <w:t xml:space="preserve">tax rate, </w:t>
              <w:br/>
              <w:t>as reported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 </w:t>
              <w:br/>
              <w:t>items</w:t>
            </w:r>
            <w:r>
              <w:rPr>
                <w:rFonts w:ascii="Times New Roman;Times;Serif" w:hAnsi="Times New Roman;Times;Serif"/>
                <w:b/>
                <w:i w:val="false"/>
                <w:caps w:val="false"/>
                <w:smallCaps w:val="false"/>
                <w:position w:val="7"/>
                <w:sz w:val="16"/>
                <w:sz w:val="20"/>
              </w:rPr>
              <w:t>(1)(2)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Operational </w:t>
              <w:br/>
              <w:t>tax rate, as</w:t>
              <w:br/>
              <w:t>adjusted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Effective </w:t>
              <w:br/>
              <w:t xml:space="preserve">tax rate, </w:t>
              <w:br/>
              <w:t xml:space="preserve">as </w:t>
              <w:br/>
              <w:t>reported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 </w:t>
              <w:br/>
              <w:t>items</w:t>
            </w:r>
            <w:r>
              <w:rPr>
                <w:rFonts w:ascii="Times New Roman;Times;Serif" w:hAnsi="Times New Roman;Times;Serif"/>
                <w:b/>
                <w:i w:val="false"/>
                <w:caps w:val="false"/>
                <w:smallCaps w:val="false"/>
                <w:position w:val="7"/>
                <w:sz w:val="16"/>
                <w:sz w:val="20"/>
              </w:rPr>
              <w:t>(1)(2)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Operational </w:t>
              <w:br/>
              <w:t>tax rate, as</w:t>
              <w:br/>
              <w:t>adjusted</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1,293</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6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tax rate is a non-GAAP financial measure. Management believes that this measure is meaningful to investors because management reviews the operating results of the Company excluding the impacts of Special items. There can be no assurances that additional Special items will not occur in future periods. To compensate for this limitation, management believes that it is appropriate to consider both the Effective tax rate determined under GAAP as well as the Operational tax rate.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99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Pre-tax special items for 2Q26 included Acquisition and acquisition-related costs $22. Pre-tax special items for the six months ended 2Q26 included Restructuring and other credits ($93) and Acquisition and acquisition-related costs $29.</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99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Special items includes discrete tax items, the tax impact on Special items based on the applicable statutory rates, the difference between such rates and the Company’s consolidated estimated annual effective tax rate and other tax related items. Discrete tax items for each period included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2Q26, a benefit to release a valuation allowance related to U.S. foreign tax credits ($22), a benefit to release a valuation allowance related to U.S. state tax losses ($10), a benefit to release a tax reserve in Germany ($3), an excess benefit for stock compensation ($1), and a charge to establish an international withholding tax reserve $16.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2Q26, a benefit to release a valuation allowance related to U.S. foreign tax credits ($22), an excess benefit for stock compensation ($22), a benefit to release a valuation allowance related to U.S. state tax losses ($10), a benefit to release a tax reserve in Germany ($3), and a charge to establish an international withholding tax reserve $16.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Financial Measures (unaudited),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Adjusted Operating Income, Adjusted Operating Income Margin, Adjusted EBITDA, and Adjusted EBITDA margin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33"/>
        <w:gridCol w:w="60"/>
        <w:gridCol w:w="125"/>
        <w:gridCol w:w="485"/>
        <w:gridCol w:w="185"/>
        <w:gridCol w:w="60"/>
        <w:gridCol w:w="125"/>
        <w:gridCol w:w="485"/>
        <w:gridCol w:w="185"/>
        <w:gridCol w:w="60"/>
        <w:gridCol w:w="125"/>
        <w:gridCol w:w="485"/>
        <w:gridCol w:w="185"/>
        <w:gridCol w:w="60"/>
        <w:gridCol w:w="214"/>
        <w:gridCol w:w="834"/>
        <w:gridCol w:w="187"/>
        <w:gridCol w:w="60"/>
        <w:gridCol w:w="214"/>
        <w:gridCol w:w="834"/>
        <w:gridCol w:w="204"/>
      </w:tblGrid>
      <w:tr>
        <w:trPr/>
        <w:tc>
          <w:tcPr>
            <w:tcW w:w="50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1Q26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3,995</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4,860</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credits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and acquisition-related costs</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associated with closures, supply chain disruptions, and other items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1,399</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2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20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1,557</w:t>
            </w:r>
          </w:p>
        </w:tc>
        <w:tc>
          <w:tcPr>
            <w:tcW w:w="2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2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income and Adjusted operating income margin are non-GAAP financial measures. Special items, including Restructuring and other credits, are excluded from Adjusted operating income. Management believes that these measures are meaningful to investors because management reviews the operating results of the Company excluding the impacts of Special items. There can be no assurances that additional Special items will not occur in future periods. To compensate for this limitation, management believes that it is appropriate to consider both Operating income and Operating income margin determined under GAAP as well as Adjusted operating income and Adjusted operating income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and Adjusted EBITDA margin are non-GAAP financial measures. Management believes that these measures are meaningful to investors because they provide additional information with respect to the Company's operating performance and the Company’s ability to meet its financial obligations. The Adjusted EBITDA presented may not be comparable to similarly titled measures of other companies. The Company's definition of Adjusted EBITDA is defined as Operating Income excluding Restructuring and other credits and Special items and Provision for depreciation and amortization. Special items, including Restructuring and other credits, are excluded from Adjusted EBITDA.</w:t>
      </w:r>
    </w:p>
    <w:p>
      <w:pPr>
        <w:pStyle w:val="TextBody"/>
        <w:bidi w:val="0"/>
        <w:spacing w:before="0" w:after="0"/>
        <w:ind w:left="0" w:right="0" w:hanging="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3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of $1 related to the CAM acquisition financing in 1Q26.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Howmet Aerospace Inc. and subsidiaries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Financial Measures (unaudited),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millions)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Organic Revenue</w:t>
      </w:r>
    </w:p>
    <w:p>
      <w:pPr>
        <w:pStyle w:val="TextBody"/>
        <w:bidi w:val="0"/>
        <w:spacing w:before="0" w:after="0"/>
        <w:ind w:left="0" w:right="0" w:hanging="0"/>
        <w:jc w:val="left"/>
        <w:rPr>
          <w:caps w:val="false"/>
          <w:smallCaps w:val="false"/>
        </w:rPr>
      </w:pPr>
      <w:r>
        <w:rPr>
          <w:caps w:val="false"/>
          <w:smallCaps w:val="false"/>
        </w:rPr>
        <w:t> </w:t>
      </w:r>
    </w:p>
    <w:tbl>
      <w:tblPr>
        <w:tblW w:w="9170" w:type="dxa"/>
        <w:jc w:val="left"/>
        <w:tblInd w:w="0" w:type="dxa"/>
        <w:tblLayout w:type="fixed"/>
        <w:tblCellMar>
          <w:top w:w="0" w:type="dxa"/>
          <w:left w:w="0" w:type="dxa"/>
          <w:bottom w:w="0" w:type="dxa"/>
          <w:right w:w="0" w:type="dxa"/>
        </w:tblCellMar>
      </w:tblPr>
      <w:tblGrid>
        <w:gridCol w:w="2765"/>
        <w:gridCol w:w="60"/>
        <w:gridCol w:w="125"/>
        <w:gridCol w:w="485"/>
        <w:gridCol w:w="60"/>
        <w:gridCol w:w="60"/>
        <w:gridCol w:w="125"/>
        <w:gridCol w:w="485"/>
        <w:gridCol w:w="60"/>
        <w:gridCol w:w="60"/>
        <w:gridCol w:w="187"/>
        <w:gridCol w:w="718"/>
        <w:gridCol w:w="185"/>
        <w:gridCol w:w="60"/>
        <w:gridCol w:w="242"/>
        <w:gridCol w:w="947"/>
        <w:gridCol w:w="66"/>
        <w:gridCol w:w="66"/>
        <w:gridCol w:w="242"/>
        <w:gridCol w:w="947"/>
        <w:gridCol w:w="60"/>
        <w:gridCol w:w="60"/>
        <w:gridCol w:w="187"/>
        <w:gridCol w:w="718"/>
        <w:gridCol w:w="20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2Q26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3,995</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Acquisitions and Divestitures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Organic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3,930</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Organic revenue is a non-GAAP financial measure. Management believes this measure is meaningful to investors as it presents revenue on a comparable basis for all periods presented excluding the impact of the acquisitions of CAM (acquired April 2026) and Brunner (acquired February 2026) and the sale of the disk forging facility in Savannah, GA (divested March 2026). Management believes that it is appropriate to consider both Sales determined under GAAP as well as Organic Revenue.</w:t>
      </w:r>
    </w:p>
    <w:p>
      <w:pPr>
        <w:pStyle w:val="TextBody"/>
        <w:bidi w:val="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16</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6824</Words>
  <Characters>35349</Characters>
  <CharactersWithSpaces>43340</CharactersWithSpaces>
  <Paragraphs>4774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